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华文细黑" w:hAnsi="华文细黑" w:eastAsia="华文细黑" w:cs="华文细黑"/>
          <w:b/>
          <w:bCs/>
          <w:sz w:val="32"/>
          <w:szCs w:val="32"/>
        </w:rPr>
      </w:pPr>
      <w:r>
        <w:rPr>
          <w:rFonts w:hint="eastAsia" w:ascii="华文细黑" w:hAnsi="华文细黑" w:eastAsia="华文细黑" w:cs="华文细黑"/>
          <w:b/>
          <w:bCs/>
          <w:sz w:val="32"/>
          <w:szCs w:val="32"/>
        </w:rPr>
        <w:t>福州三坊七巷景区20</w:t>
      </w:r>
      <w:r>
        <w:rPr>
          <w:rFonts w:hint="eastAsia" w:ascii="华文细黑" w:hAnsi="华文细黑" w:eastAsia="华文细黑" w:cs="华文细黑"/>
          <w:b/>
          <w:bCs/>
          <w:sz w:val="32"/>
          <w:szCs w:val="32"/>
          <w:lang w:val="en-US" w:eastAsia="zh-CN"/>
        </w:rPr>
        <w:t>21-</w:t>
      </w:r>
      <w:r>
        <w:rPr>
          <w:rFonts w:hint="eastAsia" w:ascii="华文细黑" w:hAnsi="华文细黑" w:eastAsia="华文细黑" w:cs="华文细黑"/>
          <w:b/>
          <w:bCs/>
          <w:sz w:val="32"/>
          <w:szCs w:val="32"/>
        </w:rPr>
        <w:t>202</w:t>
      </w:r>
      <w:r>
        <w:rPr>
          <w:rFonts w:hint="eastAsia" w:ascii="华文细黑" w:hAnsi="华文细黑" w:eastAsia="华文细黑" w:cs="华文细黑"/>
          <w:b/>
          <w:bCs/>
          <w:sz w:val="32"/>
          <w:szCs w:val="32"/>
          <w:lang w:val="en-US" w:eastAsia="zh-CN"/>
        </w:rPr>
        <w:t>2</w:t>
      </w:r>
      <w:r>
        <w:rPr>
          <w:rFonts w:hint="eastAsia" w:ascii="华文细黑" w:hAnsi="华文细黑" w:eastAsia="华文细黑" w:cs="华文细黑"/>
          <w:b/>
          <w:bCs/>
          <w:sz w:val="32"/>
          <w:szCs w:val="32"/>
        </w:rPr>
        <w:t>旅游公众责任保险报价单</w:t>
      </w:r>
    </w:p>
    <w:p>
      <w:pPr>
        <w:rPr>
          <w:rFonts w:asciiTheme="minorEastAsia" w:hAnsiTheme="minorEastAsia" w:cstheme="minorEastAsia"/>
          <w:szCs w:val="21"/>
        </w:rPr>
      </w:pP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6"/>
        <w:gridCol w:w="3675"/>
        <w:gridCol w:w="24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86" w:type="dxa"/>
          </w:tcPr>
          <w:p>
            <w:pPr>
              <w:rPr>
                <w:rFonts w:asciiTheme="minorEastAsia" w:hAnsi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cstheme="minorEastAsia"/>
                <w:sz w:val="30"/>
                <w:szCs w:val="30"/>
              </w:rPr>
              <w:t>投保险别</w:t>
            </w:r>
          </w:p>
        </w:tc>
        <w:tc>
          <w:tcPr>
            <w:tcW w:w="3675" w:type="dxa"/>
          </w:tcPr>
          <w:p>
            <w:pPr>
              <w:rPr>
                <w:rFonts w:asciiTheme="minorEastAsia" w:hAnsi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cstheme="minorEastAsia"/>
                <w:sz w:val="30"/>
                <w:szCs w:val="30"/>
              </w:rPr>
              <w:t>保险金额/赔偿限额（元）</w:t>
            </w:r>
          </w:p>
        </w:tc>
        <w:tc>
          <w:tcPr>
            <w:tcW w:w="2461" w:type="dxa"/>
          </w:tcPr>
          <w:p>
            <w:pPr>
              <w:rPr>
                <w:rFonts w:asciiTheme="minorEastAsia" w:hAnsi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cstheme="minorEastAsia"/>
                <w:sz w:val="30"/>
                <w:szCs w:val="30"/>
              </w:rPr>
              <w:t>保费（元）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86" w:type="dxa"/>
          </w:tcPr>
          <w:p>
            <w:pPr>
              <w:rPr>
                <w:rFonts w:asciiTheme="minorEastAsia" w:hAnsiTheme="minorEastAsia" w:cstheme="minorEastAsia"/>
                <w:sz w:val="30"/>
                <w:szCs w:val="30"/>
              </w:rPr>
            </w:pPr>
          </w:p>
        </w:tc>
        <w:tc>
          <w:tcPr>
            <w:tcW w:w="3675" w:type="dxa"/>
          </w:tcPr>
          <w:p>
            <w:pPr>
              <w:rPr>
                <w:rFonts w:asciiTheme="minorEastAsia" w:hAnsiTheme="minorEastAsia" w:cstheme="minorEastAsia"/>
                <w:sz w:val="30"/>
                <w:szCs w:val="30"/>
              </w:rPr>
            </w:pPr>
          </w:p>
        </w:tc>
        <w:tc>
          <w:tcPr>
            <w:tcW w:w="2461" w:type="dxa"/>
          </w:tcPr>
          <w:p>
            <w:pPr>
              <w:rPr>
                <w:rFonts w:asciiTheme="minorEastAsia" w:hAnsiTheme="minorEastAsia" w:cstheme="minorEastAsia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86" w:type="dxa"/>
          </w:tcPr>
          <w:p>
            <w:pPr>
              <w:rPr>
                <w:rFonts w:asciiTheme="minorEastAsia" w:hAnsiTheme="minorEastAsia" w:cstheme="minorEastAsia"/>
                <w:sz w:val="30"/>
                <w:szCs w:val="30"/>
              </w:rPr>
            </w:pPr>
          </w:p>
        </w:tc>
        <w:tc>
          <w:tcPr>
            <w:tcW w:w="3675" w:type="dxa"/>
          </w:tcPr>
          <w:p>
            <w:pPr>
              <w:rPr>
                <w:rFonts w:asciiTheme="minorEastAsia" w:hAnsiTheme="minorEastAsia" w:cstheme="minorEastAsia"/>
                <w:sz w:val="30"/>
                <w:szCs w:val="30"/>
              </w:rPr>
            </w:pPr>
          </w:p>
        </w:tc>
        <w:tc>
          <w:tcPr>
            <w:tcW w:w="2461" w:type="dxa"/>
          </w:tcPr>
          <w:p>
            <w:pPr>
              <w:rPr>
                <w:rFonts w:asciiTheme="minorEastAsia" w:hAnsiTheme="minorEastAsia" w:cstheme="minorEastAsia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86" w:type="dxa"/>
          </w:tcPr>
          <w:p>
            <w:pPr>
              <w:rPr>
                <w:rFonts w:asciiTheme="minorEastAsia" w:hAnsiTheme="minorEastAsia" w:cstheme="minorEastAsia"/>
                <w:sz w:val="30"/>
                <w:szCs w:val="30"/>
              </w:rPr>
            </w:pPr>
          </w:p>
        </w:tc>
        <w:tc>
          <w:tcPr>
            <w:tcW w:w="3675" w:type="dxa"/>
          </w:tcPr>
          <w:p>
            <w:pPr>
              <w:rPr>
                <w:rFonts w:asciiTheme="minorEastAsia" w:hAnsiTheme="minorEastAsia" w:cstheme="minorEastAsia"/>
                <w:sz w:val="30"/>
                <w:szCs w:val="30"/>
              </w:rPr>
            </w:pPr>
          </w:p>
        </w:tc>
        <w:tc>
          <w:tcPr>
            <w:tcW w:w="2461" w:type="dxa"/>
          </w:tcPr>
          <w:p>
            <w:pPr>
              <w:rPr>
                <w:rFonts w:asciiTheme="minorEastAsia" w:hAnsiTheme="minorEastAsia" w:cstheme="minorEastAsia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86" w:type="dxa"/>
          </w:tcPr>
          <w:p>
            <w:pPr>
              <w:rPr>
                <w:rFonts w:asciiTheme="minorEastAsia" w:hAnsi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cstheme="minorEastAsia"/>
                <w:sz w:val="30"/>
                <w:szCs w:val="30"/>
              </w:rPr>
              <w:t>保费合计（含税）</w:t>
            </w:r>
          </w:p>
        </w:tc>
        <w:tc>
          <w:tcPr>
            <w:tcW w:w="3675" w:type="dxa"/>
          </w:tcPr>
          <w:p>
            <w:pPr>
              <w:rPr>
                <w:rFonts w:asciiTheme="minorEastAsia" w:hAnsiTheme="minorEastAsia" w:cstheme="minorEastAsia"/>
                <w:sz w:val="30"/>
                <w:szCs w:val="30"/>
              </w:rPr>
            </w:pPr>
          </w:p>
        </w:tc>
        <w:tc>
          <w:tcPr>
            <w:tcW w:w="2461" w:type="dxa"/>
          </w:tcPr>
          <w:p>
            <w:pPr>
              <w:rPr>
                <w:rFonts w:asciiTheme="minorEastAsia" w:hAnsiTheme="minorEastAsia" w:cstheme="minorEastAsia"/>
                <w:sz w:val="30"/>
                <w:szCs w:val="30"/>
              </w:rPr>
            </w:pPr>
          </w:p>
        </w:tc>
      </w:tr>
    </w:tbl>
    <w:p>
      <w:pPr>
        <w:rPr>
          <w:rFonts w:asciiTheme="minorEastAsia" w:hAnsiTheme="minorEastAsia" w:cstheme="minorEastAsia"/>
          <w:sz w:val="30"/>
          <w:szCs w:val="30"/>
        </w:rPr>
      </w:pPr>
    </w:p>
    <w:p>
      <w:pPr>
        <w:tabs>
          <w:tab w:val="left" w:pos="5953"/>
        </w:tabs>
        <w:rPr>
          <w:rFonts w:asciiTheme="minorEastAsia" w:hAnsiTheme="minorEastAsia" w:cstheme="minorEastAsia"/>
          <w:sz w:val="30"/>
          <w:szCs w:val="30"/>
        </w:rPr>
      </w:pPr>
      <w:r>
        <w:rPr>
          <w:rFonts w:hint="eastAsia" w:asciiTheme="minorEastAsia" w:hAnsi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cstheme="minorEastAsia"/>
          <w:sz w:val="30"/>
          <w:szCs w:val="30"/>
        </w:rPr>
        <w:t>保险公司（盖章）</w:t>
      </w:r>
    </w:p>
    <w:p>
      <w:pPr>
        <w:tabs>
          <w:tab w:val="left" w:pos="5773"/>
        </w:tabs>
        <w:rPr>
          <w:rFonts w:asciiTheme="minorEastAsia" w:hAnsiTheme="minorEastAsia" w:cstheme="minorEastAsia"/>
          <w:sz w:val="30"/>
          <w:szCs w:val="30"/>
        </w:rPr>
      </w:pPr>
      <w:r>
        <w:rPr>
          <w:rFonts w:hint="eastAsia" w:asciiTheme="minorEastAsia" w:hAnsi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cstheme="minorEastAsia"/>
          <w:sz w:val="30"/>
          <w:szCs w:val="30"/>
        </w:rPr>
        <w:t xml:space="preserve">  年   月   日</w:t>
      </w:r>
    </w:p>
    <w:p>
      <w:pPr>
        <w:rPr>
          <w:rFonts w:asciiTheme="minorEastAsia" w:hAnsiTheme="minorEastAsia" w:cstheme="minorEastAsia"/>
          <w:sz w:val="30"/>
          <w:szCs w:val="30"/>
        </w:rPr>
      </w:pPr>
    </w:p>
    <w:p>
      <w:pPr>
        <w:rPr>
          <w:rFonts w:asciiTheme="minorEastAsia" w:hAnsiTheme="minorEastAsia" w:cstheme="minorEastAsia"/>
          <w:sz w:val="30"/>
          <w:szCs w:val="30"/>
        </w:rPr>
      </w:pPr>
    </w:p>
    <w:p>
      <w:pPr>
        <w:spacing w:line="460" w:lineRule="exact"/>
        <w:rPr>
          <w:rFonts w:asciiTheme="minorEastAsia" w:hAnsiTheme="minorEastAsia" w:cstheme="minorEastAsia"/>
          <w:sz w:val="30"/>
          <w:szCs w:val="30"/>
        </w:rPr>
      </w:pPr>
      <w:r>
        <w:rPr>
          <w:rFonts w:hint="eastAsia" w:asciiTheme="minorEastAsia" w:hAnsiTheme="minorEastAsia" w:cstheme="minorEastAsia"/>
          <w:sz w:val="30"/>
          <w:szCs w:val="30"/>
        </w:rPr>
        <w:t>备注：1、赔偿限额参照公告中规定的各项定额：累计赔偿限额：RMB5000万元；每次事故赔偿限额：RMB1000万元；</w:t>
      </w:r>
    </w:p>
    <w:p>
      <w:pPr>
        <w:spacing w:line="460" w:lineRule="exact"/>
        <w:rPr>
          <w:rFonts w:asciiTheme="minorEastAsia" w:hAnsiTheme="minorEastAsia" w:cstheme="minorEastAsia"/>
          <w:sz w:val="30"/>
          <w:szCs w:val="30"/>
        </w:rPr>
      </w:pPr>
      <w:r>
        <w:rPr>
          <w:rFonts w:hint="eastAsia" w:asciiTheme="minorEastAsia" w:hAnsiTheme="minorEastAsia" w:cstheme="minorEastAsia"/>
          <w:sz w:val="30"/>
          <w:szCs w:val="30"/>
        </w:rPr>
        <w:t>每次事故每人人身赔偿限额：RMB100万元；每次事故每人财产损失赔偿限额：RMB5万元</w:t>
      </w:r>
    </w:p>
    <w:p>
      <w:pPr>
        <w:spacing w:line="460" w:lineRule="exact"/>
        <w:rPr>
          <w:rFonts w:asciiTheme="minorEastAsia" w:hAnsiTheme="minorEastAsia" w:cstheme="minorEastAsia"/>
          <w:sz w:val="30"/>
          <w:szCs w:val="30"/>
        </w:rPr>
      </w:pPr>
      <w:r>
        <w:rPr>
          <w:rFonts w:hint="eastAsia" w:asciiTheme="minorEastAsia" w:hAnsiTheme="minorEastAsia" w:cstheme="minorEastAsia"/>
          <w:sz w:val="30"/>
          <w:szCs w:val="30"/>
        </w:rPr>
        <w:t>2、合计一栏为一年期保费总价，不高于5万元；</w:t>
      </w:r>
      <w:r>
        <w:rPr>
          <w:rFonts w:hint="eastAsia" w:ascii="宋体" w:hAnsi="宋体" w:eastAsia="宋体" w:cs="宋体"/>
          <w:sz w:val="28"/>
          <w:szCs w:val="28"/>
        </w:rPr>
        <w:t>最低投标价者经评委评审并推荐中标候选人</w:t>
      </w:r>
    </w:p>
    <w:p>
      <w:pPr>
        <w:spacing w:line="460" w:lineRule="exact"/>
        <w:rPr>
          <w:rFonts w:asciiTheme="minorEastAsia" w:hAnsiTheme="minorEastAsia" w:cstheme="minorEastAsia"/>
          <w:sz w:val="30"/>
          <w:szCs w:val="30"/>
        </w:rPr>
      </w:pPr>
      <w:r>
        <w:rPr>
          <w:rFonts w:hint="eastAsia" w:asciiTheme="minorEastAsia" w:hAnsiTheme="minorEastAsia" w:cstheme="minorEastAsia"/>
          <w:sz w:val="30"/>
          <w:szCs w:val="30"/>
        </w:rPr>
        <w:t>3表格中所列项目可自行增减，如有额外赠送险种，请在表格中列明</w:t>
      </w:r>
    </w:p>
    <w:p>
      <w:pPr>
        <w:numPr>
          <w:ilvl w:val="0"/>
          <w:numId w:val="1"/>
        </w:numPr>
        <w:spacing w:line="460" w:lineRule="exact"/>
        <w:rPr>
          <w:rFonts w:asciiTheme="minorEastAsia" w:hAnsiTheme="minorEastAsia" w:cstheme="minorEastAsia"/>
          <w:sz w:val="30"/>
          <w:szCs w:val="30"/>
        </w:rPr>
      </w:pPr>
      <w:r>
        <w:rPr>
          <w:rFonts w:hint="eastAsia" w:asciiTheme="minorEastAsia" w:hAnsiTheme="minorEastAsia" w:cstheme="minorEastAsia"/>
          <w:sz w:val="30"/>
          <w:szCs w:val="30"/>
        </w:rPr>
        <w:t>投保单位填好报价单后，请盖章密封（密封处需盖章签字），</w:t>
      </w:r>
      <w:bookmarkStart w:id="0" w:name="_GoBack"/>
      <w:bookmarkEnd w:id="0"/>
      <w:r>
        <w:rPr>
          <w:rFonts w:hint="eastAsia" w:asciiTheme="minorEastAsia" w:hAnsiTheme="minorEastAsia" w:cstheme="minorEastAsia"/>
          <w:sz w:val="30"/>
          <w:szCs w:val="30"/>
        </w:rPr>
        <w:t>开标时按照相关规定现场开封；提前开封或现场查验报价单已被开封过则视为无效报价单</w:t>
      </w:r>
    </w:p>
    <w:p>
      <w:pPr>
        <w:numPr>
          <w:ilvl w:val="0"/>
          <w:numId w:val="1"/>
        </w:numPr>
        <w:spacing w:line="460" w:lineRule="exact"/>
        <w:rPr>
          <w:rFonts w:asciiTheme="minorEastAsia" w:hAnsiTheme="minorEastAsia" w:cstheme="minorEastAsia"/>
          <w:sz w:val="30"/>
          <w:szCs w:val="30"/>
        </w:rPr>
      </w:pPr>
      <w:r>
        <w:rPr>
          <w:rFonts w:hint="eastAsia" w:asciiTheme="minorEastAsia" w:hAnsiTheme="minorEastAsia" w:cstheme="minorEastAsia"/>
          <w:sz w:val="30"/>
          <w:szCs w:val="30"/>
        </w:rPr>
        <w:t>投标单位代表需在开标现场对投保方案进行解释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12FFA7"/>
    <w:multiLevelType w:val="singleLevel"/>
    <w:tmpl w:val="5812FFA7"/>
    <w:lvl w:ilvl="0" w:tentative="0">
      <w:start w:val="4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0C318E"/>
    <w:rsid w:val="730C3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2020-12-10T02:51:00Z</dcterms:created>
  <dc:creator>陈2018</dc:creator>
  <cp:lastModifiedBy>陈2018</cp:lastModifiedBy>
  <dcterms:modified xsi:type="dcterms:W3CDTF">2020-12-10T02:51:32Z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