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华文细黑" w:hAnsi="华文细黑" w:eastAsia="华文细黑" w:cs="华文细黑"/>
          <w:b/>
          <w:bCs/>
          <w:sz w:val="32"/>
          <w:szCs w:val="32"/>
        </w:rPr>
      </w:pPr>
      <w:r>
        <w:rPr>
          <w:rFonts w:hint="eastAsia" w:ascii="华文细黑" w:hAnsi="华文细黑" w:eastAsia="华文细黑" w:cs="华文细黑"/>
          <w:b/>
          <w:bCs/>
          <w:sz w:val="32"/>
          <w:szCs w:val="32"/>
        </w:rPr>
        <w:t>福州三坊七巷景区20</w:t>
      </w:r>
      <w:r>
        <w:rPr>
          <w:rFonts w:hint="eastAsia" w:ascii="华文细黑" w:hAnsi="华文细黑" w:eastAsia="华文细黑" w:cs="华文细黑"/>
          <w:b/>
          <w:bCs/>
          <w:sz w:val="32"/>
          <w:szCs w:val="32"/>
          <w:lang w:val="en-US" w:eastAsia="zh-CN"/>
        </w:rPr>
        <w:t>22-</w:t>
      </w:r>
      <w:r>
        <w:rPr>
          <w:rFonts w:hint="eastAsia" w:ascii="华文细黑" w:hAnsi="华文细黑" w:eastAsia="华文细黑" w:cs="华文细黑"/>
          <w:b/>
          <w:bCs/>
          <w:sz w:val="32"/>
          <w:szCs w:val="32"/>
        </w:rPr>
        <w:t>202</w:t>
      </w:r>
      <w:r>
        <w:rPr>
          <w:rFonts w:hint="eastAsia" w:ascii="华文细黑" w:hAnsi="华文细黑" w:eastAsia="华文细黑" w:cs="华文细黑"/>
          <w:b/>
          <w:bCs/>
          <w:sz w:val="32"/>
          <w:szCs w:val="32"/>
          <w:lang w:val="en-US" w:eastAsia="zh-CN"/>
        </w:rPr>
        <w:t>3</w:t>
      </w:r>
      <w:r>
        <w:rPr>
          <w:rFonts w:hint="eastAsia" w:ascii="华文细黑" w:hAnsi="华文细黑" w:eastAsia="华文细黑" w:cs="华文细黑"/>
          <w:b/>
          <w:bCs/>
          <w:sz w:val="32"/>
          <w:szCs w:val="32"/>
        </w:rPr>
        <w:t>旅游公众责任保险报价单</w:t>
      </w:r>
    </w:p>
    <w:p>
      <w:pPr>
        <w:rPr>
          <w:rFonts w:ascii="宋体" w:hAnsi="宋体" w:cs="宋体"/>
          <w:szCs w:val="21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6"/>
        <w:gridCol w:w="3675"/>
        <w:gridCol w:w="24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  <w:noWrap w:val="0"/>
            <w:vAlign w:val="top"/>
          </w:tcPr>
          <w:p>
            <w:pPr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投保险别</w:t>
            </w:r>
          </w:p>
        </w:tc>
        <w:tc>
          <w:tcPr>
            <w:tcW w:w="3675" w:type="dxa"/>
            <w:noWrap w:val="0"/>
            <w:vAlign w:val="top"/>
          </w:tcPr>
          <w:p>
            <w:pPr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保险金额/赔偿限额（元）</w:t>
            </w:r>
          </w:p>
        </w:tc>
        <w:tc>
          <w:tcPr>
            <w:tcW w:w="2461" w:type="dxa"/>
            <w:noWrap w:val="0"/>
            <w:vAlign w:val="top"/>
          </w:tcPr>
          <w:p>
            <w:pPr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保费（元）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  <w:noWrap w:val="0"/>
            <w:vAlign w:val="top"/>
          </w:tcPr>
          <w:p>
            <w:pPr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3675" w:type="dxa"/>
            <w:noWrap w:val="0"/>
            <w:vAlign w:val="top"/>
          </w:tcPr>
          <w:p>
            <w:pPr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2461" w:type="dxa"/>
            <w:noWrap w:val="0"/>
            <w:vAlign w:val="top"/>
          </w:tcPr>
          <w:p>
            <w:pPr>
              <w:rPr>
                <w:rFonts w:ascii="宋体" w:hAnsi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  <w:noWrap w:val="0"/>
            <w:vAlign w:val="top"/>
          </w:tcPr>
          <w:p>
            <w:pPr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3675" w:type="dxa"/>
            <w:noWrap w:val="0"/>
            <w:vAlign w:val="top"/>
          </w:tcPr>
          <w:p>
            <w:pPr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2461" w:type="dxa"/>
            <w:noWrap w:val="0"/>
            <w:vAlign w:val="top"/>
          </w:tcPr>
          <w:p>
            <w:pPr>
              <w:rPr>
                <w:rFonts w:ascii="宋体" w:hAnsi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  <w:noWrap w:val="0"/>
            <w:vAlign w:val="top"/>
          </w:tcPr>
          <w:p>
            <w:pPr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3675" w:type="dxa"/>
            <w:noWrap w:val="0"/>
            <w:vAlign w:val="top"/>
          </w:tcPr>
          <w:p>
            <w:pPr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2461" w:type="dxa"/>
            <w:noWrap w:val="0"/>
            <w:vAlign w:val="top"/>
          </w:tcPr>
          <w:p>
            <w:pPr>
              <w:rPr>
                <w:rFonts w:ascii="宋体" w:hAnsi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  <w:noWrap w:val="0"/>
            <w:vAlign w:val="top"/>
          </w:tcPr>
          <w:p>
            <w:pPr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保费合计（含税）</w:t>
            </w:r>
          </w:p>
        </w:tc>
        <w:tc>
          <w:tcPr>
            <w:tcW w:w="3675" w:type="dxa"/>
            <w:noWrap w:val="0"/>
            <w:vAlign w:val="top"/>
          </w:tcPr>
          <w:p>
            <w:pPr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2461" w:type="dxa"/>
            <w:noWrap w:val="0"/>
            <w:vAlign w:val="top"/>
          </w:tcPr>
          <w:p>
            <w:pPr>
              <w:rPr>
                <w:rFonts w:ascii="宋体" w:hAnsi="宋体" w:cs="宋体"/>
                <w:sz w:val="30"/>
                <w:szCs w:val="30"/>
              </w:rPr>
            </w:pPr>
          </w:p>
        </w:tc>
      </w:tr>
    </w:tbl>
    <w:p>
      <w:pPr>
        <w:rPr>
          <w:rFonts w:ascii="宋体" w:hAnsi="宋体" w:cs="宋体"/>
          <w:sz w:val="30"/>
          <w:szCs w:val="30"/>
        </w:rPr>
      </w:pPr>
      <w:bookmarkStart w:id="0" w:name="_GoBack"/>
      <w:bookmarkEnd w:id="0"/>
    </w:p>
    <w:p>
      <w:pPr>
        <w:tabs>
          <w:tab w:val="left" w:pos="5953"/>
        </w:tabs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ab/>
      </w:r>
      <w:r>
        <w:rPr>
          <w:rFonts w:hint="eastAsia" w:ascii="宋体" w:hAnsi="宋体" w:cs="宋体"/>
          <w:sz w:val="30"/>
          <w:szCs w:val="30"/>
        </w:rPr>
        <w:t>保险公司（盖章）</w:t>
      </w:r>
    </w:p>
    <w:p>
      <w:pPr>
        <w:tabs>
          <w:tab w:val="left" w:pos="5773"/>
        </w:tabs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ab/>
      </w:r>
      <w:r>
        <w:rPr>
          <w:rFonts w:hint="eastAsia" w:ascii="宋体" w:hAnsi="宋体" w:cs="宋体"/>
          <w:sz w:val="30"/>
          <w:szCs w:val="30"/>
        </w:rPr>
        <w:t xml:space="preserve">  年   月   日</w:t>
      </w:r>
    </w:p>
    <w:p>
      <w:pPr>
        <w:rPr>
          <w:rFonts w:ascii="宋体" w:hAnsi="宋体" w:cs="宋体"/>
          <w:sz w:val="30"/>
          <w:szCs w:val="30"/>
        </w:rPr>
      </w:pPr>
    </w:p>
    <w:p>
      <w:pPr>
        <w:rPr>
          <w:rFonts w:ascii="宋体" w:hAnsi="宋体" w:cs="宋体"/>
          <w:sz w:val="30"/>
          <w:szCs w:val="30"/>
        </w:rPr>
      </w:pPr>
    </w:p>
    <w:p>
      <w:pPr>
        <w:spacing w:line="460" w:lineRule="exact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备注：1、赔偿限额参照公告中规定的各项定额：累计赔偿限额：RMB5000万元；每次事故赔偿限额：RMB1000万元；</w:t>
      </w:r>
    </w:p>
    <w:p>
      <w:pPr>
        <w:spacing w:line="460" w:lineRule="exact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每次事故每人人身赔偿限额：RMB100万元；每次事故每人财产损失赔偿限额：RMB5万元</w:t>
      </w:r>
    </w:p>
    <w:p>
      <w:pPr>
        <w:spacing w:line="460" w:lineRule="exact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2、合计一栏为一年期保费总价，不高于5万元；</w:t>
      </w:r>
      <w:r>
        <w:rPr>
          <w:rFonts w:hint="eastAsia" w:ascii="宋体" w:hAnsi="宋体" w:eastAsia="宋体" w:cs="宋体"/>
          <w:sz w:val="28"/>
          <w:szCs w:val="28"/>
        </w:rPr>
        <w:t>最低投标价者经评委评审并推荐中标候选人</w:t>
      </w:r>
    </w:p>
    <w:p>
      <w:pPr>
        <w:spacing w:line="460" w:lineRule="exact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3表格中所列项目可自行增减，如有额外赠送险种，请在表格中列明</w:t>
      </w:r>
    </w:p>
    <w:p>
      <w:pPr>
        <w:numPr>
          <w:ilvl w:val="0"/>
          <w:numId w:val="1"/>
        </w:numPr>
        <w:spacing w:line="460" w:lineRule="exact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投保单位填好报价单后，请盖章密封（密封处需盖章签字），开标时按照相关规定现场开封；提前开封或现场查验报价单已被开封过则视为无效报价单</w:t>
      </w:r>
    </w:p>
    <w:p>
      <w:pPr>
        <w:numPr>
          <w:ilvl w:val="0"/>
          <w:numId w:val="1"/>
        </w:numPr>
        <w:spacing w:line="460" w:lineRule="exact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投标单位代表需在开标现场对投保方案进行解释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12FFA7"/>
    <w:multiLevelType w:val="singleLevel"/>
    <w:tmpl w:val="5812FFA7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286AE9"/>
    <w:rsid w:val="7B28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2021-10-28T08:41:00Z</dcterms:created>
  <dc:creator>陈2018</dc:creator>
  <cp:lastModifiedBy>陈2018</cp:lastModifiedBy>
  <dcterms:modified xsi:type="dcterms:W3CDTF">2021-10-28T08:42:15Z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B87EBD525DCD440ABB18280787EF8467</vt:lpwstr>
  </property>
</Properties>
</file>