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附件1：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古厝商城</w:t>
      </w:r>
      <w:r>
        <w:rPr>
          <w:rFonts w:hint="eastAsia" w:ascii="仿宋" w:hAnsi="仿宋" w:eastAsia="仿宋" w:cs="仿宋_GB2312"/>
          <w:sz w:val="32"/>
          <w:szCs w:val="32"/>
        </w:rPr>
        <w:t>评分表</w:t>
      </w:r>
    </w:p>
    <w:tbl>
      <w:tblPr>
        <w:tblStyle w:val="2"/>
        <w:tblpPr w:leftFromText="180" w:rightFromText="180" w:vertAnchor="text" w:horzAnchor="margin" w:tblpXSpec="center" w:tblpY="404"/>
        <w:tblW w:w="1020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562"/>
        <w:gridCol w:w="6774"/>
        <w:gridCol w:w="10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02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古厝商城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方案评分表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内容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详细说明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分数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商城版面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古厝商城的版面设计中，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是否符合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古厝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特色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5分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  <w:t>），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是否满足商城总体运营需求（5分）。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宣传方案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总体方案是否包含宣传方案（5分），商城的宣传渠道是否多样（5分）、宣传方式是否多样（5分）、是否包含营销活动设计方案（5分）等。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分润比例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方案中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是否明确各方分润比例，其中我方分润比例不低于产品利润的30%（我方分润低于30%的方案视为无效方案），我方分润比例最高的方案得10分，第二名得5分，第三名及以后不得分。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商城费用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方案中是否确认商城搭建费用出资方（如方案中显示商城搭建过程中我方需出资，则视为无效方案）。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运营费用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方案中是否确认运营费用的出资方（如方案中显示商城运营过程中我方需出资，则视为无效方案）。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人员设置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方案中需明确商城运营中的人员设置方案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人员设置合理程度第一名的得10分，第二名得5分，第三名得2分，第四名之后不得分。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合作商户</w:t>
            </w:r>
          </w:p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进出机制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是否设置商城商户进入机制（5分）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。</w:t>
            </w:r>
          </w:p>
          <w:p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是否设置商城商户退出机制（5分）。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商城商品</w:t>
            </w:r>
          </w:p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定价机制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方案中是否根据不同类别设置商品定价机制。</w:t>
            </w:r>
          </w:p>
          <w:p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有无定价机制：5分，有无分类定价方案：5分。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商品上线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操作流程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方案中是否有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完整的商品上线的操作流程（5分）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。</w:t>
            </w:r>
          </w:p>
          <w:p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商品上线的操作流程是否合理（是否有充分考虑到线上产品上线前的审核程序，5分。）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案例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展示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方案中是否有前期案例，每增加一个案例得，最高不超10分。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总分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100</w:t>
            </w:r>
          </w:p>
        </w:tc>
      </w:tr>
    </w:tbl>
    <w:p>
      <w:pPr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711081"/>
    <w:rsid w:val="72711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2022-01-12T01:53:00Z</dcterms:created>
  <dc:creator>陈2018</dc:creator>
  <cp:lastModifiedBy>陈2018</cp:lastModifiedBy>
  <dcterms:modified xsi:type="dcterms:W3CDTF">2022-01-12T01:53:17Z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709B14FC46F34C2CB82D9F39E31BFAB7</vt:lpwstr>
  </property>
</Properties>
</file>