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bidi w:val="0"/>
        <w:ind w:leftChars="0"/>
        <w:rPr>
          <w:rFonts w:hint="eastAsia"/>
          <w:color w:val="auto"/>
        </w:rPr>
      </w:pPr>
      <w:bookmarkStart w:id="0" w:name="_Toc1116924784"/>
      <w:r>
        <w:rPr>
          <w:rFonts w:hint="eastAsia"/>
          <w:color w:val="auto"/>
        </w:rPr>
        <w:t>评标</w:t>
      </w:r>
      <w:r>
        <w:rPr>
          <w:rFonts w:hint="eastAsia"/>
          <w:color w:val="auto"/>
          <w:lang w:val="en-US" w:eastAsia="zh-CN"/>
        </w:rPr>
        <w:t>内容和</w:t>
      </w:r>
      <w:r>
        <w:rPr>
          <w:rFonts w:hint="eastAsia"/>
          <w:color w:val="auto"/>
        </w:rPr>
        <w:t>标准</w:t>
      </w:r>
      <w:bookmarkEnd w:id="0"/>
    </w:p>
    <w:p>
      <w:pPr>
        <w:snapToGrid w:val="0"/>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采</w:t>
      </w:r>
      <w:r>
        <w:rPr>
          <w:rFonts w:hint="eastAsia" w:asciiTheme="minorEastAsia" w:hAnsiTheme="minorEastAsia" w:eastAsiaTheme="minorEastAsia" w:cstheme="minorEastAsia"/>
          <w:b/>
          <w:sz w:val="24"/>
        </w:rPr>
        <w:t>用综合评分法</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评审</w:t>
      </w:r>
      <w:r>
        <w:rPr>
          <w:rFonts w:hint="eastAsia" w:asciiTheme="minorEastAsia" w:hAnsiTheme="minorEastAsia" w:eastAsiaTheme="minorEastAsia" w:cstheme="minorEastAsia"/>
          <w:sz w:val="24"/>
        </w:rPr>
        <w:t>将对通过资格审查的各合格投标人根据</w:t>
      </w:r>
      <w:r>
        <w:rPr>
          <w:rFonts w:hint="eastAsia" w:asciiTheme="minorEastAsia" w:hAnsiTheme="minorEastAsia" w:eastAsiaTheme="minorEastAsia" w:cstheme="minorEastAsia"/>
          <w:sz w:val="24"/>
          <w:lang w:val="en-US" w:eastAsia="zh-CN"/>
        </w:rPr>
        <w:t>评分内容和</w:t>
      </w:r>
      <w:r>
        <w:rPr>
          <w:rFonts w:hint="eastAsia" w:asciiTheme="minorEastAsia" w:hAnsiTheme="minorEastAsia" w:eastAsiaTheme="minorEastAsia" w:cstheme="minorEastAsia"/>
          <w:sz w:val="24"/>
        </w:rPr>
        <w:t>标准进行评议和评分。</w:t>
      </w:r>
      <w:r>
        <w:rPr>
          <w:rFonts w:hint="eastAsia" w:asciiTheme="minorEastAsia" w:hAnsiTheme="minorEastAsia" w:eastAsiaTheme="minorEastAsia" w:cstheme="minorEastAsia"/>
          <w:b/>
          <w:sz w:val="24"/>
        </w:rPr>
        <w:t>最终根据评标</w:t>
      </w:r>
      <w:r>
        <w:rPr>
          <w:rFonts w:hint="eastAsia" w:asciiTheme="minorEastAsia" w:hAnsiTheme="minorEastAsia" w:eastAsiaTheme="minorEastAsia" w:cstheme="minorEastAsia"/>
          <w:b/>
          <w:sz w:val="24"/>
          <w:lang w:val="en-US" w:eastAsia="zh-CN"/>
        </w:rPr>
        <w:t>结果</w:t>
      </w:r>
      <w:r>
        <w:rPr>
          <w:rFonts w:hint="eastAsia" w:asciiTheme="minorEastAsia" w:hAnsiTheme="minorEastAsia" w:eastAsiaTheme="minorEastAsia" w:cstheme="minorEastAsia"/>
          <w:b/>
          <w:sz w:val="24"/>
        </w:rPr>
        <w:t>汇总推荐综合得分最高的为中标候选人。</w:t>
      </w:r>
      <w:r>
        <w:rPr>
          <w:rFonts w:hint="eastAsia" w:asciiTheme="minorEastAsia" w:hAnsiTheme="minorEastAsia" w:eastAsiaTheme="minorEastAsia" w:cstheme="minorEastAsia"/>
          <w:sz w:val="24"/>
        </w:rPr>
        <w:t>若综合得分有相同的最高分，则在综合得分相同的投标人中按报价优惠顺序推荐中标候选人，若综合得分和报价均相同的，则在综合得分和报价均相同的投标人中按技术质量得分高低顺序推荐中标候选人。</w:t>
      </w:r>
    </w:p>
    <w:p>
      <w:pPr>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评审</w:t>
      </w:r>
      <w:r>
        <w:rPr>
          <w:rFonts w:hint="eastAsia" w:asciiTheme="minorEastAsia" w:hAnsiTheme="minorEastAsia" w:eastAsiaTheme="minorEastAsia" w:cstheme="minorEastAsia"/>
          <w:sz w:val="24"/>
        </w:rPr>
        <w:t>将严格按照招标文件的要求和条件进行评标，对所有投标人的评估，都采用相同的程序和标准。</w:t>
      </w:r>
    </w:p>
    <w:p>
      <w:pPr>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计算分数时四舍五入取小数点后两位。主要评标因素如下：</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各部分评分分值分布如下：</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PF：报价部分           满分</w:t>
      </w:r>
      <w:r>
        <w:rPr>
          <w:rFonts w:hint="default" w:asciiTheme="minorEastAsia" w:hAnsiTheme="minorEastAsia" w:eastAsiaTheme="minorEastAsia" w:cstheme="minorEastAsia"/>
          <w:sz w:val="24"/>
        </w:rPr>
        <w:t>1</w:t>
      </w:r>
      <w:r>
        <w:rPr>
          <w:rFonts w:hint="eastAsia" w:asciiTheme="minorEastAsia" w:hAnsiTheme="minorEastAsia" w:eastAsiaTheme="minorEastAsia" w:cstheme="minorEastAsia"/>
          <w:sz w:val="24"/>
        </w:rPr>
        <w:t>0分</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PB：商务部分           满分</w:t>
      </w:r>
      <w:r>
        <w:rPr>
          <w:rFonts w:hint="default" w:asciiTheme="minorEastAsia" w:hAnsiTheme="minorEastAsia" w:eastAsiaTheme="minorEastAsia" w:cstheme="minorEastAsia"/>
          <w:sz w:val="24"/>
        </w:rPr>
        <w:t>30</w:t>
      </w:r>
      <w:r>
        <w:rPr>
          <w:rFonts w:hint="eastAsia" w:asciiTheme="minorEastAsia" w:hAnsiTheme="minorEastAsia" w:eastAsiaTheme="minorEastAsia" w:cstheme="minorEastAsia"/>
          <w:sz w:val="24"/>
        </w:rPr>
        <w:t>分</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PT：技术部分    </w:t>
      </w:r>
      <w:bookmarkStart w:id="41" w:name="_GoBack"/>
      <w:bookmarkEnd w:id="41"/>
      <w:r>
        <w:rPr>
          <w:rFonts w:hint="eastAsia" w:asciiTheme="minorEastAsia" w:hAnsiTheme="minorEastAsia" w:eastAsiaTheme="minorEastAsia" w:cstheme="minorEastAsia"/>
          <w:sz w:val="24"/>
          <w:szCs w:val="24"/>
        </w:rPr>
        <w:t xml:space="preserve">       满分</w:t>
      </w:r>
      <w:r>
        <w:rPr>
          <w:rFonts w:hint="default"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0分</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最终得分为各个评委的算术平均值。</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综合得分P＝PF＋PB＋PT</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具体分值及评分因素分布如下：</w:t>
      </w:r>
    </w:p>
    <w:tbl>
      <w:tblPr>
        <w:tblStyle w:val="9"/>
        <w:tblW w:w="83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45"/>
        <w:gridCol w:w="6060"/>
        <w:gridCol w:w="1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评标项目</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评标方法描述</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评标分值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PF报价部分(10分)</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投标人的投标总价经修正后，计算出报价评标价，评委将按下列方法计算合格投标人的报价部分得分。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PF=(Fn/F)×10分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PF：投标人的投标总价得分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F：各合格投标人报价（即经修正后的投标总价）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Fn：评标基准价即合格投标人中的最低报价</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5"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PB 商务部分(</w:t>
            </w: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0分)</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投标人具有ISO20000信息技术服务管理体系认证证书、具有ISO9001质量管理体系认证证书、ISO27001信息安全认证证书且在有效期内，全部提供得3分，</w:t>
            </w:r>
            <w:r>
              <w:rPr>
                <w:rFonts w:hint="eastAsia" w:ascii="宋体" w:hAnsi="宋体" w:cs="宋体"/>
                <w:kern w:val="0"/>
                <w:sz w:val="24"/>
                <w:lang w:bidi="ar"/>
              </w:rPr>
              <w:t>每缺一项扣</w:t>
            </w:r>
            <w:r>
              <w:rPr>
                <w:rFonts w:hint="default" w:ascii="宋体" w:hAnsi="宋体" w:cs="宋体"/>
                <w:kern w:val="0"/>
                <w:sz w:val="24"/>
                <w:lang w:bidi="ar"/>
              </w:rPr>
              <w:t>1</w:t>
            </w:r>
            <w:r>
              <w:rPr>
                <w:rFonts w:hint="eastAsia" w:ascii="宋体" w:hAnsi="宋体" w:cs="宋体"/>
                <w:kern w:val="0"/>
                <w:sz w:val="24"/>
                <w:lang w:bidi="ar"/>
              </w:rPr>
              <w:t>分</w:t>
            </w:r>
            <w:r>
              <w:rPr>
                <w:rFonts w:hint="eastAsia" w:ascii="宋体" w:hAnsi="宋体" w:eastAsia="宋体" w:cs="宋体"/>
                <w:i w:val="0"/>
                <w:color w:val="000000"/>
                <w:kern w:val="0"/>
                <w:sz w:val="24"/>
                <w:szCs w:val="24"/>
                <w:u w:val="none"/>
                <w:lang w:val="en-US" w:eastAsia="zh-CN" w:bidi="ar"/>
              </w:rPr>
              <w:t>。（须提供相应证书或检测报告等复印件并加盖投标人公章）</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color w:val="000000"/>
                <w:sz w:val="24"/>
                <w:szCs w:val="24"/>
                <w:u w:val="none"/>
              </w:rPr>
            </w:pP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投标人具有数据中心场地基础设施认证证书CQC增强级证书</w:t>
            </w:r>
            <w:r>
              <w:rPr>
                <w:rFonts w:hint="default" w:ascii="宋体" w:hAnsi="宋体" w:cs="宋体"/>
                <w:i w:val="0"/>
                <w:color w:val="000000"/>
                <w:kern w:val="0"/>
                <w:sz w:val="24"/>
                <w:szCs w:val="24"/>
                <w:u w:val="none"/>
                <w:lang w:eastAsia="zh-CN" w:bidi="ar"/>
              </w:rPr>
              <w:t>、</w:t>
            </w:r>
            <w:r>
              <w:rPr>
                <w:rFonts w:hint="eastAsia" w:ascii="宋体" w:hAnsi="宋体" w:eastAsia="宋体" w:cs="宋体"/>
                <w:i w:val="0"/>
                <w:color w:val="000000"/>
                <w:kern w:val="0"/>
                <w:sz w:val="24"/>
                <w:szCs w:val="24"/>
                <w:u w:val="none"/>
                <w:lang w:val="en-US" w:eastAsia="zh-CN" w:bidi="ar"/>
              </w:rPr>
              <w:t>业务领域为运行维护的ITSS信息技术服务标准运行维护能力证书</w:t>
            </w:r>
            <w:r>
              <w:rPr>
                <w:rFonts w:hint="default" w:ascii="宋体" w:hAnsi="宋体" w:cs="宋体"/>
                <w:i w:val="0"/>
                <w:color w:val="000000"/>
                <w:kern w:val="0"/>
                <w:sz w:val="24"/>
                <w:szCs w:val="24"/>
                <w:u w:val="none"/>
                <w:lang w:eastAsia="zh-CN" w:bidi="ar"/>
              </w:rPr>
              <w:t>，</w:t>
            </w:r>
            <w:r>
              <w:rPr>
                <w:rFonts w:hint="eastAsia" w:ascii="宋体" w:hAnsi="宋体" w:eastAsia="宋体" w:cs="宋体"/>
                <w:i w:val="0"/>
                <w:color w:val="000000"/>
                <w:kern w:val="0"/>
                <w:sz w:val="24"/>
                <w:szCs w:val="24"/>
                <w:u w:val="none"/>
                <w:lang w:val="en-US" w:eastAsia="zh-CN" w:bidi="ar"/>
              </w:rPr>
              <w:t>全部提供得3分，</w:t>
            </w:r>
            <w:r>
              <w:rPr>
                <w:rFonts w:hint="eastAsia" w:ascii="宋体" w:hAnsi="宋体" w:cs="宋体"/>
                <w:kern w:val="0"/>
                <w:sz w:val="24"/>
                <w:lang w:bidi="ar"/>
              </w:rPr>
              <w:t>每缺一项扣</w:t>
            </w:r>
            <w:r>
              <w:rPr>
                <w:rFonts w:hint="default" w:ascii="宋体" w:hAnsi="宋体" w:cs="宋体"/>
                <w:kern w:val="0"/>
                <w:sz w:val="24"/>
                <w:lang w:bidi="ar"/>
              </w:rPr>
              <w:t>1.5</w:t>
            </w:r>
            <w:r>
              <w:rPr>
                <w:rFonts w:hint="eastAsia" w:ascii="宋体" w:hAnsi="宋体" w:cs="宋体"/>
                <w:kern w:val="0"/>
                <w:sz w:val="24"/>
                <w:lang w:bidi="ar"/>
              </w:rPr>
              <w:t>分</w:t>
            </w:r>
            <w:r>
              <w:rPr>
                <w:rFonts w:hint="eastAsia" w:ascii="宋体" w:hAnsi="宋体" w:eastAsia="宋体" w:cs="宋体"/>
                <w:i w:val="0"/>
                <w:color w:val="000000"/>
                <w:kern w:val="0"/>
                <w:sz w:val="24"/>
                <w:szCs w:val="24"/>
                <w:u w:val="none"/>
                <w:lang w:val="en-US" w:eastAsia="zh-CN" w:bidi="ar"/>
              </w:rPr>
              <w:t>。（须提供相应证书或检测报告等复印件并加盖投标人公章）。</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default" w:ascii="宋体" w:hAnsi="宋体" w:cs="宋体"/>
                <w:i w:val="0"/>
                <w:color w:val="000000"/>
                <w:sz w:val="24"/>
                <w:szCs w:val="24"/>
                <w:u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color w:val="000000"/>
                <w:sz w:val="24"/>
                <w:szCs w:val="24"/>
                <w:u w:val="none"/>
              </w:rPr>
            </w:pP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人所投产品应与安全产品具备良好的兼容性，能够提供国家认可的第三方安全厂商出具的代码安全审计项目报告、所投产品等保三级网络安全等级保护检测报告、所投产品IT产品信息安全认证证书，全部提供得3分，</w:t>
            </w:r>
            <w:r>
              <w:rPr>
                <w:rFonts w:hint="eastAsia" w:ascii="宋体" w:hAnsi="宋体" w:cs="宋体"/>
                <w:kern w:val="0"/>
                <w:sz w:val="24"/>
                <w:lang w:bidi="ar"/>
              </w:rPr>
              <w:t>每缺一项扣</w:t>
            </w:r>
            <w:r>
              <w:rPr>
                <w:rFonts w:hint="default" w:ascii="宋体" w:hAnsi="宋体" w:cs="宋体"/>
                <w:kern w:val="0"/>
                <w:sz w:val="24"/>
                <w:lang w:bidi="ar"/>
              </w:rPr>
              <w:t>1</w:t>
            </w:r>
            <w:r>
              <w:rPr>
                <w:rFonts w:hint="eastAsia" w:ascii="宋体" w:hAnsi="宋体" w:cs="宋体"/>
                <w:kern w:val="0"/>
                <w:sz w:val="24"/>
                <w:lang w:bidi="ar"/>
              </w:rPr>
              <w:t>分</w:t>
            </w:r>
            <w:r>
              <w:rPr>
                <w:rFonts w:hint="eastAsia" w:ascii="宋体" w:hAnsi="宋体" w:eastAsia="宋体" w:cs="宋体"/>
                <w:i w:val="0"/>
                <w:color w:val="000000"/>
                <w:kern w:val="0"/>
                <w:sz w:val="24"/>
                <w:szCs w:val="24"/>
                <w:u w:val="none"/>
                <w:lang w:val="en-US" w:eastAsia="zh-CN" w:bidi="ar"/>
              </w:rPr>
              <w:t>。（须提供相应证书或检测报告等复印件并加盖投标人公章）</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3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color w:val="000000"/>
                <w:sz w:val="24"/>
                <w:szCs w:val="24"/>
                <w:u w:val="none"/>
              </w:rPr>
            </w:pP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投标人所投产品具有国家认可的具有检测资质的第三方测试机构出具的 “协同管理类软件信息安全测评报告”、“电子公文类系统参考模型确认测试报告”、“流程管理平台类软件产品登记测试报告”、“数据交换引擎类系统检测报告”、“系统集成平台检测报告”</w:t>
            </w:r>
            <w:r>
              <w:rPr>
                <w:rFonts w:hint="default" w:ascii="宋体" w:hAnsi="宋体" w:cs="宋体"/>
                <w:i w:val="0"/>
                <w:color w:val="000000"/>
                <w:kern w:val="0"/>
                <w:sz w:val="24"/>
                <w:szCs w:val="24"/>
                <w:u w:val="none"/>
                <w:lang w:eastAsia="zh-CN" w:bidi="ar"/>
              </w:rPr>
              <w:t>、</w:t>
            </w:r>
            <w:r>
              <w:rPr>
                <w:rFonts w:hint="eastAsia" w:ascii="宋体" w:hAnsi="宋体" w:cs="宋体"/>
                <w:i w:val="0"/>
                <w:color w:val="000000"/>
                <w:kern w:val="0"/>
                <w:sz w:val="24"/>
                <w:szCs w:val="24"/>
                <w:u w:val="none"/>
                <w:lang w:eastAsia="zh-Hans" w:bidi="ar"/>
              </w:rPr>
              <w:t>“</w:t>
            </w:r>
            <w:r>
              <w:rPr>
                <w:rFonts w:hint="eastAsia" w:ascii="宋体" w:hAnsi="宋体" w:eastAsia="宋体" w:cs="宋体"/>
                <w:i w:val="0"/>
                <w:color w:val="000000"/>
                <w:kern w:val="0"/>
                <w:sz w:val="24"/>
                <w:szCs w:val="24"/>
                <w:u w:val="none"/>
                <w:lang w:val="en-US" w:eastAsia="zh-CN" w:bidi="ar"/>
              </w:rPr>
              <w:t>服务软件</w:t>
            </w:r>
            <w:r>
              <w:rPr>
                <w:rFonts w:hint="eastAsia" w:ascii="宋体" w:hAnsi="宋体" w:cs="宋体"/>
                <w:i w:val="0"/>
                <w:color w:val="000000"/>
                <w:kern w:val="0"/>
                <w:sz w:val="24"/>
                <w:szCs w:val="24"/>
                <w:u w:val="none"/>
                <w:lang w:val="en-US" w:eastAsia="zh-Hans" w:bidi="ar"/>
              </w:rPr>
              <w:t>测试报告</w:t>
            </w:r>
            <w:r>
              <w:rPr>
                <w:rFonts w:hint="eastAsia" w:ascii="宋体" w:hAnsi="宋体" w:cs="宋体"/>
                <w:i w:val="0"/>
                <w:color w:val="000000"/>
                <w:kern w:val="0"/>
                <w:sz w:val="24"/>
                <w:szCs w:val="24"/>
                <w:u w:val="none"/>
                <w:lang w:eastAsia="zh-Hans" w:bidi="ar"/>
              </w:rPr>
              <w:t>”</w:t>
            </w:r>
            <w:r>
              <w:rPr>
                <w:rFonts w:hint="eastAsia" w:ascii="宋体" w:hAnsi="宋体" w:eastAsia="宋体" w:cs="宋体"/>
                <w:i w:val="0"/>
                <w:color w:val="000000"/>
                <w:kern w:val="0"/>
                <w:sz w:val="24"/>
                <w:szCs w:val="24"/>
                <w:u w:val="none"/>
                <w:lang w:val="en-US" w:eastAsia="zh-CN" w:bidi="ar"/>
              </w:rPr>
              <w:t>，全部提供得</w:t>
            </w:r>
            <w:r>
              <w:rPr>
                <w:rFonts w:hint="default" w:ascii="宋体" w:hAnsi="宋体" w:cs="宋体"/>
                <w:i w:val="0"/>
                <w:color w:val="000000"/>
                <w:kern w:val="0"/>
                <w:sz w:val="24"/>
                <w:szCs w:val="24"/>
                <w:u w:val="none"/>
                <w:lang w:eastAsia="zh-CN" w:bidi="ar"/>
              </w:rPr>
              <w:t>9</w:t>
            </w:r>
            <w:r>
              <w:rPr>
                <w:rFonts w:hint="eastAsia" w:ascii="宋体" w:hAnsi="宋体" w:eastAsia="宋体" w:cs="宋体"/>
                <w:i w:val="0"/>
                <w:color w:val="000000"/>
                <w:kern w:val="0"/>
                <w:sz w:val="24"/>
                <w:szCs w:val="24"/>
                <w:u w:val="none"/>
                <w:lang w:val="en-US" w:eastAsia="zh-CN" w:bidi="ar"/>
              </w:rPr>
              <w:t>分，</w:t>
            </w:r>
            <w:r>
              <w:rPr>
                <w:rFonts w:hint="eastAsia" w:ascii="宋体" w:hAnsi="宋体" w:cs="宋体"/>
                <w:kern w:val="0"/>
                <w:sz w:val="24"/>
                <w:lang w:bidi="ar"/>
              </w:rPr>
              <w:t>每缺一项扣</w:t>
            </w:r>
            <w:r>
              <w:rPr>
                <w:rFonts w:hint="default" w:ascii="宋体" w:hAnsi="宋体" w:cs="宋体"/>
                <w:kern w:val="0"/>
                <w:sz w:val="24"/>
                <w:lang w:bidi="ar"/>
              </w:rPr>
              <w:t>1</w:t>
            </w:r>
            <w:r>
              <w:rPr>
                <w:rFonts w:hint="eastAsia" w:ascii="宋体" w:hAnsi="宋体" w:cs="宋体"/>
                <w:kern w:val="0"/>
                <w:sz w:val="24"/>
                <w:lang w:val="en-US" w:eastAsia="zh-Hans" w:bidi="ar"/>
              </w:rPr>
              <w:t>.</w:t>
            </w:r>
            <w:r>
              <w:rPr>
                <w:rFonts w:hint="default" w:ascii="宋体" w:hAnsi="宋体" w:cs="宋体"/>
                <w:kern w:val="0"/>
                <w:sz w:val="24"/>
                <w:lang w:eastAsia="zh-Hans" w:bidi="ar"/>
              </w:rPr>
              <w:t>5</w:t>
            </w:r>
            <w:r>
              <w:rPr>
                <w:rFonts w:hint="eastAsia" w:ascii="宋体" w:hAnsi="宋体" w:cs="宋体"/>
                <w:kern w:val="0"/>
                <w:sz w:val="24"/>
                <w:lang w:bidi="ar"/>
              </w:rPr>
              <w:t>分</w:t>
            </w:r>
            <w:r>
              <w:rPr>
                <w:rFonts w:hint="eastAsia" w:ascii="宋体" w:hAnsi="宋体" w:eastAsia="宋体" w:cs="宋体"/>
                <w:i w:val="0"/>
                <w:color w:val="000000"/>
                <w:kern w:val="0"/>
                <w:sz w:val="24"/>
                <w:szCs w:val="24"/>
                <w:u w:val="none"/>
                <w:lang w:val="en-US" w:eastAsia="zh-CN" w:bidi="ar"/>
              </w:rPr>
              <w:t>。（须提供检测报告复印件并加盖投标人公章）</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default" w:ascii="宋体" w:hAnsi="宋体" w:cs="宋体"/>
                <w:i w:val="0"/>
                <w:color w:val="000000"/>
                <w:sz w:val="24"/>
                <w:szCs w:val="24"/>
                <w:u w:val="none"/>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color w:val="000000"/>
                <w:sz w:val="24"/>
                <w:szCs w:val="24"/>
                <w:u w:val="none"/>
              </w:rPr>
            </w:pP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投标人所投产品具有</w:t>
            </w:r>
            <w:r>
              <w:rPr>
                <w:rFonts w:hint="eastAsia" w:ascii="宋体" w:hAnsi="宋体" w:cs="宋体"/>
                <w:i w:val="0"/>
                <w:color w:val="000000"/>
                <w:kern w:val="0"/>
                <w:sz w:val="24"/>
                <w:szCs w:val="24"/>
                <w:u w:val="none"/>
                <w:lang w:val="en-US" w:eastAsia="zh-Hans" w:bidi="ar"/>
              </w:rPr>
              <w:t>应用定制平台</w:t>
            </w:r>
            <w:r>
              <w:rPr>
                <w:rFonts w:hint="eastAsia" w:ascii="宋体" w:hAnsi="宋体" w:eastAsia="宋体" w:cs="宋体"/>
                <w:i w:val="0"/>
                <w:color w:val="000000"/>
                <w:kern w:val="0"/>
                <w:sz w:val="24"/>
                <w:szCs w:val="24"/>
                <w:u w:val="none"/>
                <w:lang w:val="en-US" w:eastAsia="zh-CN" w:bidi="ar"/>
              </w:rPr>
              <w:t>类、开放协同互联平台类、公文信息资源共享平台类、协同运营中台系统类、自主可控报表工具类</w:t>
            </w:r>
            <w:r>
              <w:rPr>
                <w:rFonts w:hint="default" w:ascii="宋体" w:hAnsi="宋体" w:eastAsia="宋体" w:cs="宋体"/>
                <w:i w:val="0"/>
                <w:color w:val="000000"/>
                <w:kern w:val="0"/>
                <w:sz w:val="24"/>
                <w:szCs w:val="24"/>
                <w:u w:val="none"/>
                <w:lang w:eastAsia="zh-CN" w:bidi="ar"/>
              </w:rPr>
              <w:t>、</w:t>
            </w:r>
            <w:r>
              <w:rPr>
                <w:rFonts w:hint="eastAsia" w:ascii="宋体" w:hAnsi="宋体" w:eastAsia="宋体" w:cs="宋体"/>
                <w:i w:val="0"/>
                <w:color w:val="000000"/>
                <w:kern w:val="0"/>
                <w:sz w:val="24"/>
                <w:szCs w:val="24"/>
                <w:u w:val="none"/>
                <w:lang w:val="en-US" w:eastAsia="zh-CN" w:bidi="ar"/>
              </w:rPr>
              <w:t>泛组织管理平台</w:t>
            </w:r>
            <w:r>
              <w:rPr>
                <w:rFonts w:hint="eastAsia" w:ascii="宋体" w:hAnsi="宋体" w:eastAsia="宋体" w:cs="宋体"/>
                <w:i w:val="0"/>
                <w:color w:val="000000"/>
                <w:kern w:val="0"/>
                <w:sz w:val="24"/>
                <w:szCs w:val="24"/>
                <w:u w:val="none"/>
                <w:lang w:val="en-US" w:eastAsia="zh-Hans" w:bidi="ar"/>
              </w:rPr>
              <w:t>类</w:t>
            </w:r>
            <w:r>
              <w:rPr>
                <w:rFonts w:hint="eastAsia" w:ascii="宋体" w:hAnsi="宋体" w:cs="宋体"/>
                <w:i w:val="0"/>
                <w:color w:val="000000"/>
                <w:kern w:val="0"/>
                <w:sz w:val="24"/>
                <w:szCs w:val="24"/>
                <w:u w:val="none"/>
                <w:lang w:val="en-US" w:eastAsia="zh-Hans" w:bidi="ar"/>
              </w:rPr>
              <w:t>软件</w:t>
            </w:r>
            <w:r>
              <w:rPr>
                <w:rFonts w:hint="eastAsia" w:ascii="宋体" w:hAnsi="宋体" w:eastAsia="宋体" w:cs="宋体"/>
                <w:i w:val="0"/>
                <w:color w:val="000000"/>
                <w:kern w:val="0"/>
                <w:sz w:val="24"/>
                <w:szCs w:val="24"/>
                <w:u w:val="none"/>
                <w:lang w:val="en-US" w:eastAsia="zh-CN" w:bidi="ar"/>
              </w:rPr>
              <w:t>证明材料或登记证，全部提供得</w:t>
            </w:r>
            <w:r>
              <w:rPr>
                <w:rFonts w:hint="default" w:ascii="宋体" w:hAnsi="宋体" w:cs="宋体"/>
                <w:i w:val="0"/>
                <w:color w:val="000000"/>
                <w:kern w:val="0"/>
                <w:sz w:val="24"/>
                <w:szCs w:val="24"/>
                <w:u w:val="none"/>
                <w:lang w:eastAsia="zh-CN" w:bidi="ar"/>
              </w:rPr>
              <w:t>9</w:t>
            </w:r>
            <w:r>
              <w:rPr>
                <w:rFonts w:hint="eastAsia" w:ascii="宋体" w:hAnsi="宋体" w:eastAsia="宋体" w:cs="宋体"/>
                <w:i w:val="0"/>
                <w:color w:val="000000"/>
                <w:kern w:val="0"/>
                <w:sz w:val="24"/>
                <w:szCs w:val="24"/>
                <w:u w:val="none"/>
                <w:lang w:val="en-US" w:eastAsia="zh-CN" w:bidi="ar"/>
              </w:rPr>
              <w:t>分，每缺一项扣</w:t>
            </w:r>
            <w:r>
              <w:rPr>
                <w:rFonts w:hint="default" w:ascii="宋体" w:hAnsi="宋体" w:eastAsia="宋体" w:cs="宋体"/>
                <w:i w:val="0"/>
                <w:color w:val="000000"/>
                <w:kern w:val="0"/>
                <w:sz w:val="24"/>
                <w:szCs w:val="24"/>
                <w:u w:val="none"/>
                <w:lang w:eastAsia="zh-CN" w:bidi="ar"/>
              </w:rPr>
              <w:t>1</w:t>
            </w:r>
            <w:r>
              <w:rPr>
                <w:rFonts w:hint="eastAsia" w:ascii="宋体" w:hAnsi="宋体" w:cs="宋体"/>
                <w:i w:val="0"/>
                <w:color w:val="000000"/>
                <w:kern w:val="0"/>
                <w:sz w:val="24"/>
                <w:szCs w:val="24"/>
                <w:u w:val="none"/>
                <w:lang w:val="en-US" w:eastAsia="zh-Hans" w:bidi="ar"/>
              </w:rPr>
              <w:t>.</w:t>
            </w:r>
            <w:r>
              <w:rPr>
                <w:rFonts w:hint="default" w:ascii="宋体" w:hAnsi="宋体" w:cs="宋体"/>
                <w:i w:val="0"/>
                <w:color w:val="000000"/>
                <w:kern w:val="0"/>
                <w:sz w:val="24"/>
                <w:szCs w:val="24"/>
                <w:u w:val="none"/>
                <w:lang w:eastAsia="zh-Hans" w:bidi="ar"/>
              </w:rPr>
              <w:t>5</w:t>
            </w:r>
            <w:r>
              <w:rPr>
                <w:rFonts w:hint="eastAsia" w:ascii="宋体" w:hAnsi="宋体" w:eastAsia="宋体" w:cs="宋体"/>
                <w:i w:val="0"/>
                <w:color w:val="000000"/>
                <w:kern w:val="0"/>
                <w:sz w:val="24"/>
                <w:szCs w:val="24"/>
                <w:u w:val="none"/>
                <w:lang w:val="en-US" w:eastAsia="zh-CN" w:bidi="ar"/>
              </w:rPr>
              <w:t>分。（须提供证明材料复印件并加盖投标人公章）</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default" w:ascii="宋体" w:hAnsi="宋体" w:cs="宋体"/>
                <w:i w:val="0"/>
                <w:color w:val="000000"/>
                <w:sz w:val="24"/>
                <w:szCs w:val="24"/>
                <w:u w:val="none"/>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color w:val="000000"/>
                <w:sz w:val="24"/>
                <w:szCs w:val="24"/>
                <w:u w:val="none"/>
              </w:rPr>
            </w:pP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投标人201</w:t>
            </w:r>
            <w:r>
              <w:rPr>
                <w:rStyle w:val="12"/>
                <w:sz w:val="24"/>
                <w:szCs w:val="24"/>
                <w:lang w:val="en-US" w:eastAsia="zh-CN" w:bidi="ar"/>
              </w:rPr>
              <w:t>9年1月1日以来（以验收时间为准）</w:t>
            </w:r>
            <w:r>
              <w:rPr>
                <w:rStyle w:val="12"/>
                <w:rFonts w:hint="eastAsia"/>
                <w:sz w:val="24"/>
                <w:szCs w:val="24"/>
                <w:lang w:val="en-US" w:eastAsia="zh-CN" w:bidi="ar"/>
              </w:rPr>
              <w:t>承接过系统类信息化项目情况进行评分，单项目50万以下得1分，单项目50-300万得2分，单项目300万以上得3分，满分3分</w:t>
            </w:r>
            <w:r>
              <w:rPr>
                <w:rStyle w:val="12"/>
                <w:sz w:val="24"/>
                <w:szCs w:val="24"/>
                <w:lang w:val="en-US" w:eastAsia="zh-CN" w:bidi="ar"/>
              </w:rPr>
              <w:t>。投标人须提供该业绩项目的中标公告（提供相关网站中标公告的下载网页并注明网址）、中标通知书复印件、采购合同文本复印件，以及能够证明该业绩项目已经采购人验收合格的相关证明文件复印件，未提供或提供不全者不得分。</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4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PT 技术部分(</w:t>
            </w:r>
            <w:r>
              <w:rPr>
                <w:rFonts w:hint="default" w:ascii="宋体" w:hAnsi="宋体" w:cs="宋体"/>
                <w:i w:val="0"/>
                <w:color w:val="000000"/>
                <w:kern w:val="0"/>
                <w:sz w:val="24"/>
                <w:szCs w:val="24"/>
                <w:u w:val="none"/>
                <w:lang w:eastAsia="zh-CN" w:bidi="ar"/>
              </w:rPr>
              <w:t>6</w:t>
            </w:r>
            <w:r>
              <w:rPr>
                <w:rFonts w:hint="eastAsia" w:ascii="宋体" w:hAnsi="宋体" w:eastAsia="宋体" w:cs="宋体"/>
                <w:i w:val="0"/>
                <w:color w:val="000000"/>
                <w:kern w:val="0"/>
                <w:sz w:val="24"/>
                <w:szCs w:val="24"/>
                <w:u w:val="none"/>
                <w:lang w:val="en-US" w:eastAsia="zh-CN" w:bidi="ar"/>
              </w:rPr>
              <w:t>0分)</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根据投标人对招标文件“招标内容及要求”</w:t>
            </w:r>
            <w:r>
              <w:rPr>
                <w:rFonts w:hint="default" w:ascii="宋体" w:hAnsi="宋体" w:cs="宋体"/>
                <w:i w:val="0"/>
                <w:color w:val="000000"/>
                <w:kern w:val="0"/>
                <w:sz w:val="24"/>
                <w:szCs w:val="24"/>
                <w:u w:val="none"/>
                <w:lang w:eastAsia="zh-CN" w:bidi="ar"/>
              </w:rPr>
              <w:t>（</w:t>
            </w:r>
            <w:r>
              <w:rPr>
                <w:rFonts w:hint="eastAsia" w:ascii="宋体" w:hAnsi="宋体" w:cs="宋体"/>
                <w:i w:val="0"/>
                <w:color w:val="000000"/>
                <w:kern w:val="0"/>
                <w:sz w:val="24"/>
                <w:szCs w:val="24"/>
                <w:u w:val="none"/>
                <w:lang w:val="en-US" w:eastAsia="zh-Hans" w:bidi="ar"/>
              </w:rPr>
              <w:t>共计</w:t>
            </w:r>
            <w:r>
              <w:rPr>
                <w:rFonts w:hint="default" w:ascii="宋体" w:hAnsi="宋体" w:cs="宋体"/>
                <w:i w:val="0"/>
                <w:color w:val="000000"/>
                <w:kern w:val="0"/>
                <w:sz w:val="24"/>
                <w:szCs w:val="24"/>
                <w:u w:val="none"/>
                <w:lang w:eastAsia="zh-Hans" w:bidi="ar"/>
              </w:rPr>
              <w:t>32</w:t>
            </w:r>
            <w:r>
              <w:rPr>
                <w:rFonts w:hint="eastAsia" w:ascii="宋体" w:hAnsi="宋体" w:cs="宋体"/>
                <w:i w:val="0"/>
                <w:color w:val="000000"/>
                <w:kern w:val="0"/>
                <w:sz w:val="24"/>
                <w:szCs w:val="24"/>
                <w:u w:val="none"/>
                <w:lang w:val="en-US" w:eastAsia="zh-Hans" w:bidi="ar"/>
              </w:rPr>
              <w:t>小项</w:t>
            </w:r>
            <w:r>
              <w:rPr>
                <w:rFonts w:hint="default" w:ascii="宋体" w:hAnsi="宋体" w:cs="宋体"/>
                <w:i w:val="0"/>
                <w:color w:val="000000"/>
                <w:kern w:val="0"/>
                <w:sz w:val="24"/>
                <w:szCs w:val="24"/>
                <w:u w:val="none"/>
                <w:lang w:eastAsia="zh-CN" w:bidi="ar"/>
              </w:rPr>
              <w:t>）</w:t>
            </w:r>
            <w:r>
              <w:rPr>
                <w:rFonts w:hint="eastAsia" w:ascii="宋体" w:hAnsi="宋体" w:eastAsia="宋体" w:cs="宋体"/>
                <w:i w:val="0"/>
                <w:color w:val="000000"/>
                <w:kern w:val="0"/>
                <w:sz w:val="24"/>
                <w:szCs w:val="24"/>
                <w:u w:val="none"/>
                <w:lang w:val="en-US" w:eastAsia="zh-CN" w:bidi="ar"/>
              </w:rPr>
              <w:t>的响应情况进行评议：完全满足要求的得</w:t>
            </w:r>
            <w:r>
              <w:rPr>
                <w:rFonts w:hint="default" w:ascii="宋体" w:hAnsi="宋体" w:cs="宋体"/>
                <w:i w:val="0"/>
                <w:color w:val="000000"/>
                <w:kern w:val="0"/>
                <w:sz w:val="24"/>
                <w:szCs w:val="24"/>
                <w:u w:val="none"/>
                <w:lang w:eastAsia="zh-CN" w:bidi="ar"/>
              </w:rPr>
              <w:t>42</w:t>
            </w:r>
            <w:r>
              <w:rPr>
                <w:rFonts w:hint="eastAsia" w:ascii="宋体" w:hAnsi="宋体" w:eastAsia="宋体" w:cs="宋体"/>
                <w:i w:val="0"/>
                <w:color w:val="000000"/>
                <w:kern w:val="0"/>
                <w:sz w:val="24"/>
                <w:szCs w:val="24"/>
                <w:u w:val="none"/>
                <w:lang w:val="en-US" w:eastAsia="zh-CN" w:bidi="ar"/>
              </w:rPr>
              <w:t>分，其中带▲的技术参数（共</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项）有不响应或负偏离的每项扣</w:t>
            </w:r>
            <w:r>
              <w:rPr>
                <w:rFonts w:hint="default" w:ascii="宋体" w:hAnsi="宋体" w:cs="宋体"/>
                <w:i w:val="0"/>
                <w:color w:val="000000"/>
                <w:kern w:val="0"/>
                <w:sz w:val="24"/>
                <w:szCs w:val="24"/>
                <w:u w:val="none"/>
                <w:lang w:eastAsia="zh-CN" w:bidi="ar"/>
              </w:rPr>
              <w:t>3</w:t>
            </w:r>
            <w:r>
              <w:rPr>
                <w:rFonts w:hint="eastAsia" w:ascii="宋体" w:hAnsi="宋体" w:eastAsia="宋体" w:cs="宋体"/>
                <w:i w:val="0"/>
                <w:color w:val="000000"/>
                <w:kern w:val="0"/>
                <w:sz w:val="24"/>
                <w:szCs w:val="24"/>
                <w:u w:val="none"/>
                <w:lang w:val="en-US" w:eastAsia="zh-CN" w:bidi="ar"/>
              </w:rPr>
              <w:t>分；</w:t>
            </w:r>
            <w:r>
              <w:rPr>
                <w:rFonts w:hint="eastAsia" w:ascii="宋体" w:hAnsi="宋体" w:eastAsia="宋体" w:cs="宋体"/>
                <w:i w:val="0"/>
                <w:color w:val="000000"/>
                <w:kern w:val="0"/>
                <w:sz w:val="24"/>
                <w:szCs w:val="24"/>
                <w:highlight w:val="none"/>
                <w:u w:val="none"/>
                <w:lang w:val="en-US" w:eastAsia="zh-CN" w:bidi="ar"/>
              </w:rPr>
              <w:t>其余无标记的技术参数</w:t>
            </w:r>
            <w:r>
              <w:rPr>
                <w:rFonts w:hint="default" w:ascii="宋体" w:hAnsi="宋体" w:cs="宋体"/>
                <w:i w:val="0"/>
                <w:color w:val="000000"/>
                <w:kern w:val="0"/>
                <w:sz w:val="24"/>
                <w:szCs w:val="24"/>
                <w:highlight w:val="none"/>
                <w:u w:val="none"/>
                <w:lang w:eastAsia="zh-CN" w:bidi="ar"/>
              </w:rPr>
              <w:t>（</w:t>
            </w:r>
            <w:r>
              <w:rPr>
                <w:rFonts w:hint="eastAsia" w:ascii="宋体" w:hAnsi="宋体" w:cs="宋体"/>
                <w:i w:val="0"/>
                <w:color w:val="000000"/>
                <w:kern w:val="0"/>
                <w:sz w:val="24"/>
                <w:szCs w:val="24"/>
                <w:highlight w:val="none"/>
                <w:u w:val="none"/>
                <w:lang w:val="en-US" w:eastAsia="zh-CN" w:bidi="ar"/>
              </w:rPr>
              <w:t>27</w:t>
            </w:r>
            <w:r>
              <w:rPr>
                <w:rFonts w:hint="eastAsia" w:ascii="宋体" w:hAnsi="宋体" w:cs="宋体"/>
                <w:i w:val="0"/>
                <w:color w:val="000000"/>
                <w:kern w:val="0"/>
                <w:sz w:val="24"/>
                <w:szCs w:val="24"/>
                <w:highlight w:val="none"/>
                <w:u w:val="none"/>
                <w:lang w:val="en-US" w:eastAsia="zh-Hans" w:bidi="ar"/>
              </w:rPr>
              <w:t>项</w:t>
            </w:r>
            <w:r>
              <w:rPr>
                <w:rFonts w:hint="default" w:ascii="宋体" w:hAnsi="宋体" w:cs="宋体"/>
                <w:i w:val="0"/>
                <w:color w:val="000000"/>
                <w:kern w:val="0"/>
                <w:sz w:val="24"/>
                <w:szCs w:val="24"/>
                <w:highlight w:val="none"/>
                <w:u w:val="none"/>
                <w:lang w:eastAsia="zh-CN" w:bidi="ar"/>
              </w:rPr>
              <w:t>）</w:t>
            </w:r>
            <w:r>
              <w:rPr>
                <w:rFonts w:hint="eastAsia" w:ascii="宋体" w:hAnsi="宋体" w:cs="宋体"/>
                <w:i w:val="0"/>
                <w:color w:val="000000"/>
                <w:kern w:val="0"/>
                <w:sz w:val="24"/>
                <w:szCs w:val="24"/>
                <w:highlight w:val="none"/>
                <w:u w:val="none"/>
                <w:lang w:val="en-US" w:eastAsia="zh-Hans" w:bidi="ar"/>
              </w:rPr>
              <w:t>每负偏离一项扣</w:t>
            </w:r>
            <w:r>
              <w:rPr>
                <w:rFonts w:hint="default" w:ascii="宋体" w:hAnsi="宋体" w:cs="宋体"/>
                <w:i w:val="0"/>
                <w:color w:val="000000"/>
                <w:kern w:val="0"/>
                <w:sz w:val="24"/>
                <w:szCs w:val="24"/>
                <w:highlight w:val="none"/>
                <w:u w:val="none"/>
                <w:lang w:eastAsia="zh-Hans" w:bidi="ar"/>
              </w:rPr>
              <w:t>1</w:t>
            </w:r>
            <w:r>
              <w:rPr>
                <w:rFonts w:hint="eastAsia" w:ascii="宋体" w:hAnsi="宋体" w:cs="宋体"/>
                <w:i w:val="0"/>
                <w:color w:val="000000"/>
                <w:kern w:val="0"/>
                <w:sz w:val="24"/>
                <w:szCs w:val="24"/>
                <w:highlight w:val="none"/>
                <w:u w:val="none"/>
                <w:lang w:val="en-US" w:eastAsia="zh-Hans" w:bidi="ar"/>
              </w:rPr>
              <w:t>分</w:t>
            </w:r>
            <w:r>
              <w:rPr>
                <w:rFonts w:hint="default" w:ascii="宋体" w:hAnsi="宋体" w:cs="宋体"/>
                <w:i w:val="0"/>
                <w:color w:val="000000"/>
                <w:kern w:val="0"/>
                <w:sz w:val="24"/>
                <w:szCs w:val="24"/>
                <w:highlight w:val="none"/>
                <w:u w:val="none"/>
                <w:lang w:eastAsia="zh-Hans" w:bidi="ar"/>
              </w:rPr>
              <w:t>，</w:t>
            </w:r>
            <w:r>
              <w:rPr>
                <w:rFonts w:hint="eastAsia" w:ascii="宋体" w:hAnsi="宋体" w:cs="宋体"/>
                <w:i w:val="0"/>
                <w:color w:val="000000"/>
                <w:kern w:val="0"/>
                <w:sz w:val="24"/>
                <w:szCs w:val="24"/>
                <w:highlight w:val="none"/>
                <w:u w:val="none"/>
                <w:lang w:val="en-US" w:eastAsia="zh-Hans" w:bidi="ar"/>
              </w:rPr>
              <w:t>正偏离不加分</w:t>
            </w:r>
            <w:r>
              <w:rPr>
                <w:rFonts w:hint="eastAsia" w:ascii="宋体" w:hAnsi="宋体" w:eastAsia="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u w:val="none"/>
                <w:lang w:val="en-US" w:eastAsia="zh-CN" w:bidi="ar"/>
              </w:rPr>
              <w:t>响应情况投标人须完整填列在《技术和服务要求响应表》中,未填列或漏项的，评标委员会将按照不利于投标人的判定进行评审（即认定负偏离）。</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lang w:eastAsia="zh-CN"/>
              </w:rPr>
            </w:pPr>
            <w:r>
              <w:rPr>
                <w:rFonts w:hint="default" w:ascii="宋体" w:hAnsi="宋体" w:cs="宋体"/>
                <w:i w:val="0"/>
                <w:color w:val="000000"/>
                <w:kern w:val="0"/>
                <w:sz w:val="24"/>
                <w:szCs w:val="24"/>
                <w:u w:val="none"/>
                <w:lang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color w:val="000000"/>
                <w:sz w:val="24"/>
                <w:szCs w:val="24"/>
                <w:u w:val="none"/>
              </w:rPr>
            </w:pP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Hans" w:bidi="ar"/>
              </w:rPr>
              <w:t>公有云</w:t>
            </w:r>
            <w:r>
              <w:rPr>
                <w:rFonts w:hint="eastAsia" w:ascii="宋体" w:hAnsi="宋体" w:eastAsia="宋体" w:cs="宋体"/>
                <w:b/>
                <w:bCs/>
                <w:i w:val="0"/>
                <w:color w:val="000000"/>
                <w:kern w:val="0"/>
                <w:sz w:val="24"/>
                <w:szCs w:val="24"/>
                <w:u w:val="none"/>
                <w:lang w:val="en-US" w:eastAsia="zh-CN" w:bidi="ar"/>
              </w:rPr>
              <w:t>要求：</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cs="宋体"/>
                <w:i w:val="0"/>
                <w:color w:val="000000"/>
                <w:kern w:val="0"/>
                <w:sz w:val="24"/>
                <w:szCs w:val="24"/>
                <w:u w:val="none"/>
                <w:lang w:eastAsia="zh-CN" w:bidi="ar"/>
              </w:rPr>
              <w:t>1、</w:t>
            </w:r>
            <w:r>
              <w:rPr>
                <w:rFonts w:hint="eastAsia" w:ascii="宋体" w:hAnsi="宋体" w:eastAsia="宋体" w:cs="宋体"/>
                <w:i w:val="0"/>
                <w:color w:val="000000"/>
                <w:kern w:val="0"/>
                <w:sz w:val="24"/>
                <w:szCs w:val="24"/>
                <w:u w:val="none"/>
                <w:lang w:val="en-US" w:eastAsia="zh-CN" w:bidi="ar"/>
              </w:rPr>
              <w:t>投标人或其上级总公司提供的云数据库Redis数据存储持久性至少达到99.9999999999999%及以上，</w:t>
            </w:r>
            <w:r>
              <w:rPr>
                <w:rFonts w:hint="eastAsia" w:ascii="宋体" w:hAnsi="宋体" w:eastAsia="宋体" w:cs="宋体"/>
                <w:i w:val="0"/>
                <w:color w:val="000000"/>
                <w:kern w:val="0"/>
                <w:sz w:val="24"/>
                <w:szCs w:val="24"/>
                <w:u w:val="none"/>
                <w:lang w:val="en-US" w:eastAsia="zh-Hans" w:bidi="ar"/>
              </w:rPr>
              <w:t>且云数据存储</w:t>
            </w:r>
            <w:r>
              <w:rPr>
                <w:rFonts w:hint="eastAsia" w:ascii="宋体" w:hAnsi="宋体" w:eastAsia="宋体" w:cs="宋体"/>
                <w:i w:val="0"/>
                <w:color w:val="000000"/>
                <w:kern w:val="0"/>
                <w:sz w:val="24"/>
                <w:szCs w:val="24"/>
                <w:u w:val="none"/>
                <w:lang w:val="en-US" w:eastAsia="zh-CN" w:bidi="ar"/>
              </w:rPr>
              <w:t>通过可信云容器解决方案评估</w:t>
            </w:r>
            <w:r>
              <w:rPr>
                <w:rFonts w:hint="default" w:ascii="宋体" w:hAnsi="宋体" w:cs="宋体"/>
                <w:i w:val="0"/>
                <w:color w:val="000000"/>
                <w:kern w:val="0"/>
                <w:sz w:val="24"/>
                <w:szCs w:val="24"/>
                <w:u w:val="none"/>
                <w:lang w:eastAsia="zh-CN" w:bidi="ar"/>
              </w:rPr>
              <w:t>，</w:t>
            </w:r>
            <w:r>
              <w:rPr>
                <w:rFonts w:hint="eastAsia" w:ascii="宋体" w:hAnsi="宋体" w:eastAsia="宋体" w:cs="宋体"/>
                <w:i w:val="0"/>
                <w:color w:val="000000"/>
                <w:kern w:val="0"/>
                <w:sz w:val="24"/>
                <w:szCs w:val="24"/>
                <w:u w:val="none"/>
                <w:lang w:val="en-US" w:eastAsia="zh-Hans" w:bidi="ar"/>
              </w:rPr>
              <w:t>需</w:t>
            </w:r>
            <w:r>
              <w:rPr>
                <w:rFonts w:hint="eastAsia" w:ascii="宋体" w:hAnsi="宋体" w:eastAsia="宋体" w:cs="宋体"/>
                <w:i w:val="0"/>
                <w:color w:val="000000"/>
                <w:kern w:val="0"/>
                <w:sz w:val="24"/>
                <w:szCs w:val="24"/>
                <w:u w:val="none"/>
                <w:lang w:val="en-US" w:eastAsia="zh-CN" w:bidi="ar"/>
              </w:rPr>
              <w:t>提供可信云官网截图及链接。</w:t>
            </w:r>
            <w:r>
              <w:rPr>
                <w:rFonts w:hint="eastAsia" w:ascii="宋体" w:hAnsi="宋体" w:eastAsia="宋体" w:cs="宋体"/>
                <w:i w:val="0"/>
                <w:color w:val="000000"/>
                <w:kern w:val="0"/>
                <w:sz w:val="24"/>
                <w:szCs w:val="24"/>
                <w:u w:val="none"/>
                <w:lang w:val="en-US" w:eastAsia="zh-Hans" w:bidi="ar"/>
              </w:rPr>
              <w:t>全部</w:t>
            </w:r>
            <w:r>
              <w:rPr>
                <w:rFonts w:hint="eastAsia" w:ascii="宋体" w:hAnsi="宋体" w:eastAsia="宋体" w:cs="宋体"/>
                <w:i w:val="0"/>
                <w:color w:val="000000"/>
                <w:kern w:val="0"/>
                <w:sz w:val="24"/>
                <w:szCs w:val="24"/>
                <w:u w:val="none"/>
                <w:lang w:val="en-US" w:eastAsia="zh-CN" w:bidi="ar"/>
              </w:rPr>
              <w:t>提供得</w:t>
            </w:r>
            <w:r>
              <w:rPr>
                <w:rFonts w:hint="default" w:ascii="宋体" w:hAnsi="宋体" w:cs="宋体"/>
                <w:i w:val="0"/>
                <w:color w:val="000000"/>
                <w:kern w:val="0"/>
                <w:sz w:val="24"/>
                <w:szCs w:val="24"/>
                <w:u w:val="none"/>
                <w:lang w:eastAsia="zh-CN" w:bidi="ar"/>
              </w:rPr>
              <w:t>6</w:t>
            </w:r>
            <w:r>
              <w:rPr>
                <w:rFonts w:hint="eastAsia" w:ascii="宋体" w:hAnsi="宋体" w:eastAsia="宋体" w:cs="宋体"/>
                <w:i w:val="0"/>
                <w:color w:val="000000"/>
                <w:kern w:val="0"/>
                <w:sz w:val="24"/>
                <w:szCs w:val="24"/>
                <w:u w:val="none"/>
                <w:lang w:val="en-US" w:eastAsia="zh-CN" w:bidi="ar"/>
              </w:rPr>
              <w:t>分，未提供</w:t>
            </w:r>
            <w:r>
              <w:rPr>
                <w:rFonts w:hint="eastAsia" w:ascii="宋体" w:hAnsi="宋体" w:eastAsia="宋体" w:cs="宋体"/>
                <w:i w:val="0"/>
                <w:color w:val="000000"/>
                <w:kern w:val="0"/>
                <w:sz w:val="24"/>
                <w:szCs w:val="24"/>
                <w:u w:val="none"/>
                <w:lang w:val="en-US" w:eastAsia="zh-Hans" w:bidi="ar"/>
              </w:rPr>
              <w:t>或提供不全</w:t>
            </w:r>
            <w:r>
              <w:rPr>
                <w:rFonts w:hint="eastAsia" w:ascii="宋体" w:hAnsi="宋体" w:eastAsia="宋体" w:cs="宋体"/>
                <w:i w:val="0"/>
                <w:color w:val="000000"/>
                <w:kern w:val="0"/>
                <w:sz w:val="24"/>
                <w:szCs w:val="24"/>
                <w:u w:val="none"/>
                <w:lang w:val="en-US" w:eastAsia="zh-CN" w:bidi="ar"/>
              </w:rPr>
              <w:t>不得分。</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rPr>
            </w:pPr>
            <w:r>
              <w:rPr>
                <w:rFonts w:hint="default" w:ascii="宋体" w:hAnsi="宋体" w:cs="宋体"/>
                <w:i w:val="0"/>
                <w:color w:val="000000"/>
                <w:kern w:val="0"/>
                <w:sz w:val="24"/>
                <w:szCs w:val="24"/>
                <w:u w:val="none"/>
                <w:lang w:eastAsia="zh-CN" w:bidi="ar"/>
              </w:rPr>
              <w:t>2、</w:t>
            </w:r>
            <w:r>
              <w:rPr>
                <w:rFonts w:hint="eastAsia" w:ascii="宋体" w:hAnsi="宋体" w:eastAsia="宋体" w:cs="宋体"/>
                <w:i w:val="0"/>
                <w:color w:val="000000"/>
                <w:kern w:val="0"/>
                <w:sz w:val="24"/>
                <w:szCs w:val="24"/>
                <w:u w:val="none"/>
                <w:lang w:val="en-US" w:eastAsia="zh-CN" w:bidi="ar"/>
              </w:rPr>
              <w:t>投标人或其上级总公司获得可信云OpenStack开源解决方案证书，提供相关证书复印件。提供得3分，未提供不得分。</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default" w:ascii="宋体" w:hAnsi="宋体" w:cs="宋体"/>
                <w:i w:val="0"/>
                <w:color w:val="000000"/>
                <w:sz w:val="24"/>
                <w:szCs w:val="24"/>
                <w:u w:val="none"/>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3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color w:val="000000"/>
                <w:sz w:val="24"/>
                <w:szCs w:val="24"/>
                <w:u w:val="none"/>
              </w:rPr>
            </w:pP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实施及培训方案要求：</w:t>
            </w:r>
            <w:r>
              <w:rPr>
                <w:rFonts w:hint="eastAsia" w:ascii="宋体" w:hAnsi="宋体" w:eastAsia="宋体" w:cs="宋体"/>
                <w:i w:val="0"/>
                <w:color w:val="000000"/>
                <w:kern w:val="0"/>
                <w:sz w:val="24"/>
                <w:szCs w:val="24"/>
                <w:u w:val="none"/>
                <w:lang w:val="en-US" w:eastAsia="zh-CN" w:bidi="ar"/>
              </w:rPr>
              <w:t>实施方案应包括但不限于项目实施规范、项目实施组织机构安排、项目风险管理、质量管理策略、项目实施人员简历以及对项目实施组织模式的建议；培训方案应包括但不限于培训对象、内容及培训安排、及培训效果评估方法。方案内容完整、要点合理可行、专业化程度高并附项目组织机构示意图的得</w:t>
            </w:r>
            <w:r>
              <w:rPr>
                <w:rFonts w:hint="default" w:ascii="宋体" w:hAnsi="宋体" w:cs="宋体"/>
                <w:i w:val="0"/>
                <w:color w:val="000000"/>
                <w:kern w:val="0"/>
                <w:sz w:val="24"/>
                <w:szCs w:val="24"/>
                <w:u w:val="none"/>
                <w:lang w:eastAsia="zh-CN" w:bidi="ar"/>
              </w:rPr>
              <w:t>5</w:t>
            </w:r>
            <w:r>
              <w:rPr>
                <w:rFonts w:hint="eastAsia" w:ascii="宋体" w:hAnsi="宋体" w:eastAsia="宋体" w:cs="宋体"/>
                <w:i w:val="0"/>
                <w:color w:val="000000"/>
                <w:kern w:val="0"/>
                <w:sz w:val="24"/>
                <w:szCs w:val="24"/>
                <w:u w:val="none"/>
                <w:lang w:val="en-US" w:eastAsia="zh-CN" w:bidi="ar"/>
              </w:rPr>
              <w:t>分；方案内容阐述简略，部分要点合理并附项目组织机构示意图的得</w:t>
            </w:r>
            <w:r>
              <w:rPr>
                <w:rFonts w:hint="default" w:ascii="宋体" w:hAnsi="宋体" w:cs="宋体"/>
                <w:i w:val="0"/>
                <w:color w:val="000000"/>
                <w:kern w:val="0"/>
                <w:sz w:val="24"/>
                <w:szCs w:val="24"/>
                <w:u w:val="none"/>
                <w:lang w:eastAsia="zh-CN" w:bidi="ar"/>
              </w:rPr>
              <w:t>3</w:t>
            </w:r>
            <w:r>
              <w:rPr>
                <w:rFonts w:hint="eastAsia" w:ascii="宋体" w:hAnsi="宋体" w:eastAsia="宋体" w:cs="宋体"/>
                <w:i w:val="0"/>
                <w:color w:val="000000"/>
                <w:kern w:val="0"/>
                <w:sz w:val="24"/>
                <w:szCs w:val="24"/>
                <w:u w:val="none"/>
                <w:lang w:val="en-US" w:eastAsia="zh-CN" w:bidi="ar"/>
              </w:rPr>
              <w:t>分；方案阐述有缺漏或未附项目组织机构示意图的得1分。未提供不得分。</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default" w:ascii="宋体" w:hAnsi="宋体" w:cs="宋体"/>
                <w:i w:val="0"/>
                <w:color w:val="000000"/>
                <w:sz w:val="24"/>
                <w:szCs w:val="24"/>
                <w:u w: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color w:val="000000"/>
                <w:sz w:val="24"/>
                <w:szCs w:val="24"/>
                <w:u w:val="none"/>
              </w:rPr>
            </w:pP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项目经理要求：</w:t>
            </w:r>
            <w:r>
              <w:rPr>
                <w:rFonts w:hint="eastAsia" w:ascii="宋体" w:hAnsi="宋体" w:eastAsia="宋体" w:cs="宋体"/>
                <w:i w:val="0"/>
                <w:color w:val="000000"/>
                <w:kern w:val="0"/>
                <w:sz w:val="24"/>
                <w:szCs w:val="24"/>
                <w:u w:val="none"/>
                <w:lang w:val="en-US" w:eastAsia="zh-CN" w:bidi="ar"/>
              </w:rPr>
              <w:t>投标人拟派的项目负责人具备有信息系统项目管理师资格证书、PMP认证证书，提供有效证书复印件并加盖投标人公章，并同时提供投标单位在投标截止时间前三个月为其缴纳的社保证明材料。</w:t>
            </w:r>
            <w:r>
              <w:rPr>
                <w:rFonts w:hint="eastAsia" w:ascii="宋体" w:hAnsi="宋体" w:cs="宋体"/>
                <w:i w:val="0"/>
                <w:color w:val="000000"/>
                <w:kern w:val="0"/>
                <w:sz w:val="24"/>
                <w:szCs w:val="24"/>
                <w:u w:val="none"/>
                <w:lang w:val="en-US" w:eastAsia="zh-CN" w:bidi="ar"/>
              </w:rPr>
              <w:t>每提供一项得2分，</w:t>
            </w:r>
            <w:r>
              <w:rPr>
                <w:rFonts w:hint="eastAsia" w:ascii="宋体" w:hAnsi="宋体" w:eastAsia="宋体" w:cs="宋体"/>
                <w:i w:val="0"/>
                <w:color w:val="000000"/>
                <w:kern w:val="0"/>
                <w:sz w:val="24"/>
                <w:szCs w:val="24"/>
                <w:u w:val="none"/>
                <w:lang w:val="en-US" w:eastAsia="zh-CN" w:bidi="ar"/>
              </w:rPr>
              <w:t>满分4分。</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default" w:ascii="宋体" w:hAnsi="宋体" w:cs="宋体"/>
                <w:i w:val="0"/>
                <w:color w:val="000000"/>
                <w:sz w:val="24"/>
                <w:szCs w:val="24"/>
                <w:u w:val="none"/>
              </w:rPr>
              <w:t>4</w:t>
            </w:r>
          </w:p>
        </w:tc>
      </w:tr>
    </w:tbl>
    <w:p>
      <w:pPr>
        <w:pStyle w:val="2"/>
        <w:ind w:left="0" w:leftChars="0" w:firstLine="0" w:firstLineChars="0"/>
      </w:pPr>
    </w:p>
    <w:p>
      <w:pPr>
        <w:pStyle w:val="2"/>
        <w:ind w:left="0" w:leftChars="0" w:firstLine="0" w:firstLineChars="0"/>
      </w:pPr>
    </w:p>
    <w:p>
      <w:pPr>
        <w:pStyle w:val="3"/>
        <w:numPr>
          <w:ilvl w:val="0"/>
          <w:numId w:val="0"/>
        </w:numPr>
        <w:bidi w:val="0"/>
        <w:ind w:leftChars="0"/>
        <w:rPr>
          <w:rFonts w:hint="eastAsia"/>
          <w:color w:val="auto"/>
          <w:lang w:val="en-US" w:eastAsia="zh-Hans"/>
        </w:rPr>
      </w:pPr>
      <w:bookmarkStart w:id="1" w:name="_Toc1920533421"/>
      <w:r>
        <w:rPr>
          <w:rFonts w:hint="eastAsia"/>
          <w:color w:val="auto"/>
          <w:lang w:val="en-US" w:eastAsia="zh-Hans"/>
        </w:rPr>
        <w:t>招标内容及要求</w:t>
      </w:r>
      <w:bookmarkEnd w:id="1"/>
    </w:p>
    <w:p>
      <w:pPr>
        <w:pStyle w:val="4"/>
        <w:bidi w:val="0"/>
        <w:rPr>
          <w:rFonts w:hint="eastAsia"/>
          <w:lang w:val="en-US" w:eastAsia="zh-Hans"/>
        </w:rPr>
      </w:pPr>
      <w:bookmarkStart w:id="2" w:name="_Toc1725992337"/>
      <w:r>
        <w:rPr>
          <w:rFonts w:hint="eastAsia"/>
          <w:lang w:val="en-US" w:eastAsia="zh-Hans"/>
        </w:rPr>
        <w:t>功能性需求</w:t>
      </w:r>
      <w:bookmarkEnd w:id="2"/>
    </w:p>
    <w:p>
      <w:pPr>
        <w:pStyle w:val="5"/>
        <w:bidi w:val="0"/>
        <w:rPr>
          <w:rFonts w:hint="eastAsia"/>
        </w:rPr>
      </w:pPr>
      <w:bookmarkStart w:id="3" w:name="_Toc544104283"/>
      <w:r>
        <w:rPr>
          <w:rFonts w:hint="eastAsia"/>
          <w:lang w:val="en-US" w:eastAsia="zh-CN"/>
        </w:rPr>
        <w:t>协同流程</w:t>
      </w:r>
      <w:bookmarkEnd w:id="3"/>
      <w:r>
        <w:rPr>
          <w:rFonts w:hint="eastAsia" w:asciiTheme="minorEastAsia" w:hAnsiTheme="minorEastAsia" w:eastAsiaTheme="minorEastAsia" w:cstheme="minorEastAsia"/>
          <w:sz w:val="24"/>
          <w:szCs w:val="24"/>
          <w:lang w:val="en-US" w:eastAsia="zh-CN"/>
        </w:rPr>
        <w:t>▲</w:t>
      </w:r>
    </w:p>
    <w:p>
      <w:pPr>
        <w:spacing w:after="18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实现行政</w:t>
      </w:r>
      <w:r>
        <w:rPr>
          <w:rFonts w:hint="eastAsia" w:asciiTheme="minorEastAsia" w:hAnsiTheme="minorEastAsia" w:eastAsiaTheme="minorEastAsia" w:cstheme="minorEastAsia"/>
          <w:sz w:val="24"/>
          <w:szCs w:val="24"/>
        </w:rPr>
        <w:t>、公文、</w:t>
      </w:r>
      <w:r>
        <w:rPr>
          <w:rFonts w:hint="eastAsia" w:asciiTheme="minorEastAsia" w:hAnsiTheme="minorEastAsia" w:eastAsiaTheme="minorEastAsia" w:cstheme="minorEastAsia"/>
          <w:sz w:val="24"/>
          <w:szCs w:val="24"/>
          <w:lang w:val="en-US" w:eastAsia="zh-CN"/>
        </w:rPr>
        <w:t>人事</w:t>
      </w:r>
      <w:r>
        <w:rPr>
          <w:rFonts w:hint="eastAsia" w:asciiTheme="minorEastAsia" w:hAnsiTheme="minorEastAsia" w:eastAsiaTheme="minorEastAsia" w:cstheme="minorEastAsia"/>
          <w:sz w:val="24"/>
          <w:szCs w:val="24"/>
        </w:rPr>
        <w:t>、合同、采购、运营等各类审批流程电子化，实现网络</w:t>
      </w:r>
      <w:r>
        <w:rPr>
          <w:rFonts w:hint="eastAsia" w:asciiTheme="minorEastAsia" w:hAnsiTheme="minorEastAsia" w:eastAsiaTheme="minorEastAsia" w:cstheme="minorEastAsia"/>
          <w:sz w:val="24"/>
          <w:szCs w:val="24"/>
          <w:lang w:val="en-US" w:eastAsia="zh-CN"/>
        </w:rPr>
        <w:t>化</w:t>
      </w:r>
      <w:r>
        <w:rPr>
          <w:rFonts w:hint="eastAsia" w:asciiTheme="minorEastAsia" w:hAnsiTheme="minorEastAsia" w:eastAsiaTheme="minorEastAsia" w:cstheme="minorEastAsia"/>
          <w:sz w:val="24"/>
          <w:szCs w:val="24"/>
        </w:rPr>
        <w:t>办公，员工只需在能上网的地方，即可实现内部办公，打破空间、时间对办公的限制；管理者对各类审批流程具备监控、督办、查询等权限；具备流程的效率统计，可按个人、部门、事件类型统计流程处理时间</w:t>
      </w:r>
      <w:r>
        <w:rPr>
          <w:rFonts w:hint="default" w:asciiTheme="minorEastAsia" w:hAnsiTheme="minorEastAsia" w:eastAsiaTheme="minorEastAsia" w:cstheme="minorEastAsia"/>
          <w:sz w:val="24"/>
          <w:szCs w:val="24"/>
        </w:rPr>
        <w:t>。</w:t>
      </w:r>
    </w:p>
    <w:p>
      <w:pPr>
        <w:spacing w:after="180" w:afterLines="5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协同管理:进行协同“待办、已办，待发、已发，超期”等多种状态的统计。所投产品应具有协同管理模块的协同关系功能，需提供国家认可的具有检测资质的检测机构出具的关于协同管理模块的协同关系功能等方面的检测报告或相关证书。</w:t>
      </w:r>
    </w:p>
    <w:p>
      <w:pPr>
        <w:spacing w:after="180" w:afterLines="5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协同工作量化：投标人所投产品应具有协同工作量化方法和装置的功能，需提供国家认可的具有检测资质的检测机构出具的关于协同工作量化方法和装置等方面的检测报告或相关证书。</w:t>
      </w:r>
    </w:p>
    <w:p>
      <w:pPr>
        <w:spacing w:after="180" w:afterLines="5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投标人所投产品应具有流程功能，需提供国家认可的具有检测资质的检测机构出具的关于流程工作流系统及自由和固定工作流搭建和运行功能的检测报告或相关证书。</w:t>
      </w:r>
    </w:p>
    <w:p>
      <w:pPr>
        <w:pStyle w:val="5"/>
        <w:bidi w:val="0"/>
        <w:rPr>
          <w:rFonts w:hint="eastAsia"/>
        </w:rPr>
      </w:pPr>
      <w:bookmarkStart w:id="4" w:name="_Toc775315455"/>
      <w:r>
        <w:rPr>
          <w:rFonts w:hint="eastAsia"/>
          <w:lang w:val="en-US" w:eastAsia="zh-CN"/>
        </w:rPr>
        <w:t>协同</w:t>
      </w:r>
      <w:r>
        <w:rPr>
          <w:rFonts w:hint="eastAsia"/>
        </w:rPr>
        <w:t>门户管理</w:t>
      </w:r>
      <w:bookmarkEnd w:id="4"/>
    </w:p>
    <w:p>
      <w:pPr>
        <w:spacing w:after="18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通过构建</w:t>
      </w:r>
      <w:r>
        <w:rPr>
          <w:rFonts w:hint="eastAsia" w:asciiTheme="minorEastAsia" w:hAnsiTheme="minorEastAsia" w:eastAsiaTheme="minorEastAsia" w:cstheme="minorEastAsia"/>
          <w:sz w:val="24"/>
          <w:szCs w:val="24"/>
        </w:rPr>
        <w:t>高管门户、个人门户、公司门户、</w:t>
      </w:r>
      <w:r>
        <w:rPr>
          <w:rFonts w:hint="eastAsia" w:asciiTheme="minorEastAsia" w:hAnsiTheme="minorEastAsia" w:eastAsiaTheme="minorEastAsia" w:cstheme="minorEastAsia"/>
          <w:sz w:val="24"/>
          <w:szCs w:val="24"/>
          <w:lang w:val="en-US" w:eastAsia="zh-CN"/>
        </w:rPr>
        <w:t>职能</w:t>
      </w:r>
      <w:r>
        <w:rPr>
          <w:rFonts w:hint="eastAsia" w:asciiTheme="minorEastAsia" w:hAnsiTheme="minorEastAsia" w:eastAsiaTheme="minorEastAsia" w:cstheme="minorEastAsia"/>
          <w:sz w:val="24"/>
          <w:szCs w:val="24"/>
        </w:rPr>
        <w:t>部门门户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集成门户</w:t>
      </w:r>
      <w:r>
        <w:rPr>
          <w:rFonts w:hint="eastAsia" w:asciiTheme="minorEastAsia" w:hAnsiTheme="minorEastAsia" w:eastAsiaTheme="minorEastAsia" w:cstheme="minorEastAsia"/>
          <w:sz w:val="24"/>
          <w:szCs w:val="24"/>
        </w:rPr>
        <w:t>和学习门户等，实现信息根据</w:t>
      </w:r>
      <w:r>
        <w:rPr>
          <w:rFonts w:hint="eastAsia" w:asciiTheme="minorEastAsia" w:hAnsiTheme="minorEastAsia" w:eastAsiaTheme="minorEastAsia" w:cstheme="minorEastAsia"/>
          <w:sz w:val="24"/>
          <w:szCs w:val="24"/>
          <w:lang w:val="en-US" w:eastAsia="zh-CN"/>
        </w:rPr>
        <w:t>每个岗位工作特性进行</w:t>
      </w:r>
      <w:r>
        <w:rPr>
          <w:rFonts w:hint="eastAsia" w:asciiTheme="minorEastAsia" w:hAnsiTheme="minorEastAsia" w:eastAsiaTheme="minorEastAsia" w:cstheme="minorEastAsia"/>
          <w:sz w:val="24"/>
          <w:szCs w:val="24"/>
        </w:rPr>
        <w:t>个性化</w:t>
      </w:r>
      <w:r>
        <w:rPr>
          <w:rFonts w:hint="eastAsia" w:asciiTheme="minorEastAsia" w:hAnsiTheme="minorEastAsia" w:eastAsiaTheme="minorEastAsia" w:cstheme="minorEastAsia"/>
          <w:sz w:val="24"/>
          <w:szCs w:val="24"/>
          <w:lang w:val="en-US" w:eastAsia="zh-CN"/>
        </w:rPr>
        <w:t>信息推送与分</w:t>
      </w:r>
      <w:r>
        <w:rPr>
          <w:rFonts w:hint="eastAsia" w:asciiTheme="minorEastAsia" w:hAnsiTheme="minorEastAsia" w:eastAsiaTheme="minorEastAsia" w:cstheme="minorEastAsia"/>
          <w:sz w:val="24"/>
          <w:szCs w:val="24"/>
        </w:rPr>
        <w:t>享</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为每位员工建立独立的网上办公助手，实现“事找人”的办公管理方式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并打破公司与个人、部门与部门间的信息传递，以此支撑规模化的公司管理。</w:t>
      </w:r>
    </w:p>
    <w:p>
      <w:pPr>
        <w:pStyle w:val="5"/>
        <w:bidi w:val="0"/>
        <w:rPr>
          <w:rFonts w:hint="eastAsia"/>
        </w:rPr>
      </w:pPr>
      <w:bookmarkStart w:id="5" w:name="_Toc1943565836"/>
      <w:r>
        <w:rPr>
          <w:rFonts w:hint="eastAsia"/>
        </w:rPr>
        <w:t>文档管理</w:t>
      </w:r>
      <w:bookmarkEnd w:id="5"/>
    </w:p>
    <w:p>
      <w:pPr>
        <w:spacing w:after="18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建立</w:t>
      </w:r>
      <w:r>
        <w:rPr>
          <w:rFonts w:hint="eastAsia" w:ascii="宋体" w:hAnsi="宋体" w:cs="宋体"/>
          <w:sz w:val="24"/>
          <w:szCs w:val="24"/>
          <w:lang w:val="en-US" w:eastAsia="zh-CN"/>
        </w:rPr>
        <w:t>公司</w:t>
      </w:r>
      <w:r>
        <w:rPr>
          <w:rFonts w:hint="eastAsia" w:ascii="宋体" w:hAnsi="宋体" w:eastAsia="宋体" w:cs="宋体"/>
          <w:sz w:val="24"/>
          <w:szCs w:val="24"/>
          <w:lang w:val="en-US" w:eastAsia="zh-CN"/>
        </w:rPr>
        <w:t>内部</w:t>
      </w:r>
      <w:r>
        <w:rPr>
          <w:rFonts w:hint="eastAsia" w:ascii="宋体" w:hAnsi="宋体" w:eastAsia="宋体" w:cs="宋体"/>
          <w:sz w:val="24"/>
          <w:szCs w:val="24"/>
        </w:rPr>
        <w:t>电子档案库，对内部各类合同、文件、信息进行电子化存储，可分类型、分部门进行文件管理；实现各类文件上传、查看、下载等权限管理，系统将流程、讨论区的内容自动形成知识文件，沉淀日常工作中的知识，并且具备知识索引、知识地图、知识回复等知识管理的功能；</w:t>
      </w:r>
    </w:p>
    <w:p>
      <w:pPr>
        <w:pStyle w:val="5"/>
        <w:bidi w:val="0"/>
        <w:rPr>
          <w:rFonts w:hint="eastAsia"/>
        </w:rPr>
      </w:pPr>
      <w:bookmarkStart w:id="6" w:name="_Toc137251135"/>
      <w:r>
        <w:rPr>
          <w:rFonts w:hint="eastAsia"/>
          <w:lang w:val="en-US" w:eastAsia="zh-CN"/>
        </w:rPr>
        <w:t>公文</w:t>
      </w:r>
      <w:r>
        <w:rPr>
          <w:rFonts w:hint="eastAsia"/>
        </w:rPr>
        <w:t>管理</w:t>
      </w:r>
      <w:bookmarkEnd w:id="6"/>
    </w:p>
    <w:p>
      <w:pPr>
        <w:spacing w:after="18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公文</w:t>
      </w:r>
      <w:r>
        <w:rPr>
          <w:rFonts w:hint="eastAsia" w:asciiTheme="minorEastAsia" w:hAnsiTheme="minorEastAsia" w:eastAsiaTheme="minorEastAsia" w:cstheme="minorEastAsia"/>
          <w:sz w:val="24"/>
          <w:szCs w:val="24"/>
          <w:lang w:val="en-US" w:eastAsia="zh-CN"/>
        </w:rPr>
        <w:t>管理</w:t>
      </w:r>
      <w:r>
        <w:rPr>
          <w:rFonts w:hint="eastAsia" w:asciiTheme="minorEastAsia" w:hAnsiTheme="minorEastAsia" w:eastAsiaTheme="minorEastAsia" w:cstheme="minorEastAsia"/>
          <w:sz w:val="24"/>
          <w:szCs w:val="24"/>
        </w:rPr>
        <w:t>主要实现收文、发文的流转、审批、催办督办等功能，并对文件、信息处理情况提供了简单易用的实时监控机制。信息流转的处理范围完全涵盖国家现有15种日常公文格式，包括如收文、发文、传阅公文、签报等等。灵活定义工作流程无须改动程序的情况下进行，实现</w:t>
      </w:r>
      <w:r>
        <w:rPr>
          <w:rFonts w:hint="eastAsia" w:asciiTheme="minorEastAsia" w:hAnsiTheme="minorEastAsia" w:eastAsiaTheme="minorEastAsia" w:cstheme="minorEastAsia"/>
          <w:sz w:val="24"/>
          <w:szCs w:val="24"/>
          <w:lang w:val="en-US" w:eastAsia="zh-CN"/>
        </w:rPr>
        <w:t>我司</w:t>
      </w:r>
      <w:r>
        <w:rPr>
          <w:rFonts w:hint="eastAsia" w:asciiTheme="minorEastAsia" w:hAnsiTheme="minorEastAsia" w:eastAsiaTheme="minorEastAsia" w:cstheme="minorEastAsia"/>
          <w:sz w:val="24"/>
          <w:szCs w:val="24"/>
        </w:rPr>
        <w:t>员工收发文处理工作流自动化，过程计算机化，提高办公效率。</w:t>
      </w:r>
    </w:p>
    <w:p>
      <w:pPr>
        <w:pStyle w:val="5"/>
        <w:bidi w:val="0"/>
        <w:rPr>
          <w:rFonts w:hint="eastAsia"/>
        </w:rPr>
      </w:pPr>
      <w:bookmarkStart w:id="7" w:name="_Toc382389067"/>
      <w:r>
        <w:rPr>
          <w:rFonts w:hint="eastAsia"/>
        </w:rPr>
        <w:t>综合办公管理</w:t>
      </w:r>
      <w:bookmarkEnd w:id="7"/>
    </w:p>
    <w:p>
      <w:pPr>
        <w:pStyle w:val="6"/>
        <w:keepNext/>
        <w:keepLines/>
        <w:pageBreakBefore w:val="0"/>
        <w:widowControl w:val="0"/>
        <w:kinsoku/>
        <w:wordWrap/>
        <w:overflowPunct/>
        <w:topLinePunct w:val="0"/>
        <w:autoSpaceDE/>
        <w:autoSpaceDN/>
        <w:bidi w:val="0"/>
        <w:adjustRightInd/>
        <w:snapToGrid/>
        <w:ind w:left="975" w:hanging="975"/>
        <w:textAlignment w:val="auto"/>
        <w:rPr>
          <w:rFonts w:hint="eastAsia" w:ascii="宋体" w:hAnsi="宋体" w:eastAsia="宋体" w:cs="宋体"/>
          <w:sz w:val="24"/>
          <w:szCs w:val="24"/>
          <w:lang w:eastAsia="zh-CN"/>
        </w:rPr>
      </w:pPr>
      <w:r>
        <w:rPr>
          <w:rFonts w:hint="eastAsia" w:ascii="宋体" w:hAnsi="宋体" w:eastAsia="宋体" w:cs="宋体"/>
          <w:sz w:val="24"/>
          <w:szCs w:val="24"/>
        </w:rPr>
        <w:t>会议管理</w:t>
      </w:r>
    </w:p>
    <w:p>
      <w:pPr>
        <w:spacing w:after="18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实现</w:t>
      </w:r>
      <w:r>
        <w:rPr>
          <w:rFonts w:hint="eastAsia" w:asciiTheme="minorEastAsia" w:hAnsiTheme="minorEastAsia" w:eastAsiaTheme="minorEastAsia" w:cstheme="minorEastAsia"/>
          <w:sz w:val="24"/>
          <w:szCs w:val="24"/>
        </w:rPr>
        <w:t>对会议的通知、会议纪要、会议室资源管理等进行电子化管理；</w:t>
      </w:r>
    </w:p>
    <w:p>
      <w:pPr>
        <w:pStyle w:val="6"/>
        <w:keepNext/>
        <w:keepLines/>
        <w:pageBreakBefore w:val="0"/>
        <w:widowControl w:val="0"/>
        <w:kinsoku/>
        <w:wordWrap/>
        <w:overflowPunct/>
        <w:topLinePunct w:val="0"/>
        <w:autoSpaceDE/>
        <w:autoSpaceDN/>
        <w:bidi w:val="0"/>
        <w:adjustRightInd/>
        <w:snapToGrid/>
        <w:ind w:left="975" w:hanging="975"/>
        <w:textAlignment w:val="auto"/>
        <w:rPr>
          <w:rFonts w:hint="eastAsia" w:ascii="宋体" w:hAnsi="宋体" w:eastAsia="宋体" w:cs="宋体"/>
          <w:sz w:val="24"/>
          <w:szCs w:val="24"/>
        </w:rPr>
      </w:pPr>
      <w:r>
        <w:rPr>
          <w:rFonts w:hint="eastAsia" w:ascii="宋体" w:hAnsi="宋体" w:eastAsia="宋体" w:cs="宋体"/>
          <w:sz w:val="24"/>
          <w:szCs w:val="24"/>
        </w:rPr>
        <w:t>人事基础管理</w:t>
      </w:r>
    </w:p>
    <w:p>
      <w:pPr>
        <w:spacing w:after="18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实现对通讯录、人事档案合同进行管理；</w:t>
      </w:r>
    </w:p>
    <w:p>
      <w:pPr>
        <w:pStyle w:val="6"/>
        <w:keepNext/>
        <w:keepLines/>
        <w:pageBreakBefore w:val="0"/>
        <w:widowControl w:val="0"/>
        <w:kinsoku/>
        <w:wordWrap/>
        <w:overflowPunct/>
        <w:topLinePunct w:val="0"/>
        <w:autoSpaceDE/>
        <w:autoSpaceDN/>
        <w:bidi w:val="0"/>
        <w:adjustRightInd/>
        <w:snapToGrid/>
        <w:ind w:left="975" w:hanging="975"/>
        <w:textAlignment w:val="auto"/>
        <w:rPr>
          <w:rFonts w:hint="eastAsia" w:ascii="宋体" w:hAnsi="宋体" w:eastAsia="宋体" w:cs="宋体"/>
          <w:sz w:val="24"/>
          <w:szCs w:val="24"/>
        </w:rPr>
      </w:pPr>
      <w:r>
        <w:rPr>
          <w:rFonts w:hint="eastAsia" w:ascii="宋体" w:hAnsi="宋体" w:eastAsia="宋体" w:cs="宋体"/>
          <w:sz w:val="24"/>
          <w:szCs w:val="24"/>
        </w:rPr>
        <w:t>车辆管理</w:t>
      </w:r>
    </w:p>
    <w:p>
      <w:pPr>
        <w:spacing w:after="18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实现对车辆的资源、车辆申请进行统一管理；</w:t>
      </w:r>
    </w:p>
    <w:p>
      <w:pPr>
        <w:pStyle w:val="6"/>
        <w:keepNext/>
        <w:keepLines/>
        <w:pageBreakBefore w:val="0"/>
        <w:widowControl w:val="0"/>
        <w:kinsoku/>
        <w:wordWrap/>
        <w:overflowPunct/>
        <w:topLinePunct w:val="0"/>
        <w:autoSpaceDE/>
        <w:autoSpaceDN/>
        <w:bidi w:val="0"/>
        <w:adjustRightInd/>
        <w:snapToGrid/>
        <w:ind w:left="975" w:hanging="975"/>
        <w:textAlignment w:val="auto"/>
        <w:rPr>
          <w:rFonts w:hint="eastAsia" w:ascii="宋体" w:hAnsi="宋体" w:eastAsia="宋体" w:cs="宋体"/>
          <w:sz w:val="24"/>
          <w:szCs w:val="24"/>
          <w:lang w:eastAsia="zh-CN"/>
        </w:rPr>
      </w:pPr>
      <w:r>
        <w:rPr>
          <w:rFonts w:hint="eastAsia" w:ascii="宋体" w:hAnsi="宋体" w:eastAsia="宋体" w:cs="宋体"/>
          <w:sz w:val="24"/>
          <w:szCs w:val="24"/>
        </w:rPr>
        <w:t>日程管理</w:t>
      </w:r>
    </w:p>
    <w:p>
      <w:pPr>
        <w:spacing w:after="18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每位员工可管理自己每日行程，并且通过系统提醒自己，管理者可为下属安排工作计划，并且查看下属的工作安排；</w:t>
      </w:r>
    </w:p>
    <w:p>
      <w:pPr>
        <w:pStyle w:val="6"/>
        <w:keepNext/>
        <w:keepLines/>
        <w:pageBreakBefore w:val="0"/>
        <w:widowControl w:val="0"/>
        <w:kinsoku/>
        <w:wordWrap/>
        <w:overflowPunct/>
        <w:topLinePunct w:val="0"/>
        <w:autoSpaceDE/>
        <w:autoSpaceDN/>
        <w:bidi w:val="0"/>
        <w:adjustRightInd/>
        <w:snapToGrid/>
        <w:ind w:left="975" w:hanging="975"/>
        <w:textAlignment w:val="auto"/>
        <w:rPr>
          <w:rFonts w:hint="eastAsia" w:ascii="宋体" w:hAnsi="宋体" w:eastAsia="宋体" w:cs="宋体"/>
          <w:sz w:val="24"/>
          <w:szCs w:val="24"/>
        </w:rPr>
      </w:pPr>
      <w:r>
        <w:rPr>
          <w:rFonts w:hint="eastAsia" w:ascii="宋体" w:hAnsi="宋体" w:eastAsia="宋体" w:cs="宋体"/>
          <w:sz w:val="24"/>
          <w:szCs w:val="24"/>
        </w:rPr>
        <w:t>办公用品管理</w:t>
      </w:r>
    </w:p>
    <w:p>
      <w:pPr>
        <w:spacing w:after="18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实现</w:t>
      </w:r>
      <w:r>
        <w:rPr>
          <w:rFonts w:hint="eastAsia" w:asciiTheme="minorEastAsia" w:hAnsiTheme="minorEastAsia" w:eastAsiaTheme="minorEastAsia" w:cstheme="minorEastAsia"/>
          <w:sz w:val="24"/>
          <w:szCs w:val="24"/>
        </w:rPr>
        <w:t>对公司的办公用品</w:t>
      </w:r>
      <w:r>
        <w:rPr>
          <w:rFonts w:hint="eastAsia" w:asciiTheme="minorEastAsia" w:hAnsiTheme="minorEastAsia" w:eastAsiaTheme="minorEastAsia" w:cstheme="minorEastAsia"/>
          <w:sz w:val="24"/>
          <w:szCs w:val="24"/>
          <w:lang w:val="en-US" w:eastAsia="zh-CN"/>
        </w:rPr>
        <w:t>采购、入库和领用</w:t>
      </w:r>
      <w:r>
        <w:rPr>
          <w:rFonts w:hint="eastAsia" w:asciiTheme="minorEastAsia" w:hAnsiTheme="minorEastAsia" w:eastAsiaTheme="minorEastAsia" w:cstheme="minorEastAsia"/>
          <w:sz w:val="24"/>
          <w:szCs w:val="24"/>
        </w:rPr>
        <w:t>统一管理；</w:t>
      </w:r>
    </w:p>
    <w:p>
      <w:pPr>
        <w:pStyle w:val="6"/>
        <w:keepNext/>
        <w:keepLines/>
        <w:pageBreakBefore w:val="0"/>
        <w:widowControl w:val="0"/>
        <w:kinsoku/>
        <w:wordWrap/>
        <w:overflowPunct/>
        <w:topLinePunct w:val="0"/>
        <w:autoSpaceDE/>
        <w:autoSpaceDN/>
        <w:bidi w:val="0"/>
        <w:adjustRightInd/>
        <w:snapToGrid/>
        <w:ind w:left="975" w:hanging="975"/>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文化建设</w:t>
      </w:r>
    </w:p>
    <w:p>
      <w:pPr>
        <w:spacing w:after="18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Hans"/>
        </w:rPr>
        <w:t>提供新闻、公告、调查、讨论、享空间5项标准应用，实现信息发布、价值观传递、员工互动交流、图文共享，增强组织凝聚力与员工参与感。</w:t>
      </w:r>
    </w:p>
    <w:p>
      <w:pPr>
        <w:pStyle w:val="5"/>
        <w:bidi w:val="0"/>
      </w:pPr>
      <w:bookmarkStart w:id="8" w:name="_Toc1541977245"/>
      <w:r>
        <w:rPr>
          <w:rFonts w:hint="eastAsia"/>
        </w:rPr>
        <w:t>印章管理</w:t>
      </w:r>
      <w:bookmarkEnd w:id="8"/>
    </w:p>
    <w:p>
      <w:pPr>
        <w:spacing w:after="18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建立</w:t>
      </w:r>
      <w:r>
        <w:rPr>
          <w:rFonts w:hint="eastAsia" w:asciiTheme="minorEastAsia" w:hAnsiTheme="minorEastAsia" w:eastAsiaTheme="minorEastAsia" w:cstheme="minorEastAsia"/>
          <w:sz w:val="24"/>
          <w:szCs w:val="24"/>
          <w:lang w:val="en-US" w:eastAsia="zh-CN"/>
        </w:rPr>
        <w:t>公司</w:t>
      </w:r>
      <w:r>
        <w:rPr>
          <w:rFonts w:hint="eastAsia" w:asciiTheme="minorEastAsia" w:hAnsiTheme="minorEastAsia" w:eastAsiaTheme="minorEastAsia" w:cstheme="minorEastAsia"/>
          <w:sz w:val="24"/>
          <w:szCs w:val="24"/>
        </w:rPr>
        <w:t>所有印章的全生命周期管理，从印章的刻制、印章的使用、印章借出、印章销毁进行全过程的电子化管理。尤其印章的使用、借出申请，系统自动记录印章使用过程。</w:t>
      </w:r>
    </w:p>
    <w:p>
      <w:pPr>
        <w:pStyle w:val="5"/>
        <w:bidi w:val="0"/>
        <w:rPr>
          <w:rFonts w:hint="eastAsia"/>
        </w:rPr>
      </w:pPr>
      <w:bookmarkStart w:id="9" w:name="_Toc178904719"/>
      <w:r>
        <w:rPr>
          <w:rFonts w:hint="eastAsia"/>
        </w:rPr>
        <w:t>移动办公模块</w:t>
      </w:r>
      <w:bookmarkEnd w:id="9"/>
    </w:p>
    <w:p>
      <w:pPr>
        <w:spacing w:after="18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支持</w:t>
      </w:r>
      <w:r>
        <w:rPr>
          <w:rFonts w:hint="eastAsia" w:asciiTheme="minorEastAsia" w:hAnsiTheme="minorEastAsia" w:eastAsiaTheme="minorEastAsia" w:cstheme="minorEastAsia"/>
          <w:sz w:val="24"/>
          <w:szCs w:val="24"/>
        </w:rPr>
        <w:t>安卓、苹果IOS的操作系统上的</w:t>
      </w:r>
      <w:r>
        <w:rPr>
          <w:rFonts w:hint="eastAsia" w:asciiTheme="minorEastAsia" w:hAnsiTheme="minorEastAsia" w:eastAsiaTheme="minorEastAsia" w:cstheme="minorEastAsia"/>
          <w:sz w:val="24"/>
          <w:szCs w:val="24"/>
          <w:lang w:val="en-US" w:eastAsia="zh-CN"/>
        </w:rPr>
        <w:t>终端</w:t>
      </w:r>
      <w:r>
        <w:rPr>
          <w:rFonts w:hint="eastAsia" w:asciiTheme="minorEastAsia" w:hAnsiTheme="minorEastAsia" w:eastAsiaTheme="minorEastAsia" w:cstheme="minorEastAsia"/>
          <w:sz w:val="24"/>
          <w:szCs w:val="24"/>
        </w:rPr>
        <w:t>设备下载相应的APP进行移动办公；移动办公可实现：在线审批、在线下达任务流程、跟踪各类事务进展、查看通讯录、工作日志汇报、内部文件查询等；移动端支持与第三方APP集成，如企业微信号/钉钉／</w:t>
      </w:r>
      <w:r>
        <w:rPr>
          <w:rFonts w:hint="eastAsia" w:asciiTheme="minorEastAsia" w:hAnsiTheme="minorEastAsia" w:eastAsiaTheme="minorEastAsia" w:cstheme="minorEastAsia"/>
          <w:sz w:val="24"/>
          <w:szCs w:val="24"/>
          <w:lang w:val="en-US" w:eastAsia="zh-Hans"/>
        </w:rPr>
        <w:t>飞书</w:t>
      </w:r>
      <w:r>
        <w:rPr>
          <w:rFonts w:hint="eastAsia" w:asciiTheme="minorEastAsia" w:hAnsiTheme="minorEastAsia" w:eastAsiaTheme="minorEastAsia" w:cstheme="minorEastAsia"/>
          <w:sz w:val="24"/>
          <w:szCs w:val="24"/>
        </w:rPr>
        <w:t>集成实现移动办公。</w:t>
      </w:r>
      <w:r>
        <w:rPr>
          <w:rFonts w:hint="eastAsia" w:asciiTheme="minorEastAsia" w:hAnsiTheme="minorEastAsia" w:eastAsiaTheme="minorEastAsia" w:cstheme="minorEastAsia"/>
          <w:sz w:val="24"/>
          <w:szCs w:val="24"/>
          <w:lang w:val="en-US" w:eastAsia="zh-Hans"/>
        </w:rPr>
        <w:t>支持</w:t>
      </w:r>
      <w:r>
        <w:rPr>
          <w:rFonts w:hint="eastAsia" w:asciiTheme="minorEastAsia" w:hAnsiTheme="minorEastAsia" w:eastAsiaTheme="minorEastAsia" w:cstheme="minorEastAsia"/>
          <w:sz w:val="24"/>
          <w:szCs w:val="24"/>
          <w:lang w:eastAsia="zh-Hans"/>
        </w:rPr>
        <w:t>移动统一门户、移动办公管理、移动业务管理、移动集成管理、移动开发管理、移动社交化业务、移动智能管理、移动安全管理。</w:t>
      </w:r>
    </w:p>
    <w:p>
      <w:pPr>
        <w:pStyle w:val="5"/>
        <w:bidi w:val="0"/>
        <w:rPr>
          <w:rFonts w:hint="eastAsia"/>
        </w:rPr>
      </w:pPr>
      <w:bookmarkStart w:id="10" w:name="_Toc374506433"/>
      <w:r>
        <w:rPr>
          <w:rFonts w:hint="eastAsia"/>
          <w:lang w:val="en-US" w:eastAsia="zh-Hans"/>
        </w:rPr>
        <w:t>管理驾驶舱</w:t>
      </w:r>
      <w:bookmarkEnd w:id="10"/>
    </w:p>
    <w:p>
      <w:pPr>
        <w:spacing w:after="18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实现对下属人员工作信息透视，使得企业运营更加透视、公开。</w:t>
      </w:r>
      <w:r>
        <w:rPr>
          <w:rFonts w:hint="eastAsia" w:asciiTheme="minorEastAsia" w:hAnsiTheme="minorEastAsia" w:eastAsiaTheme="minorEastAsia" w:cstheme="minorEastAsia"/>
          <w:sz w:val="24"/>
          <w:szCs w:val="24"/>
          <w:lang w:val="en-US" w:eastAsia="zh-Hans"/>
        </w:rPr>
        <w:t>提供标准的协同流程绩效与员工行为绩效分析，将日常流程与员工行为大数据以多维度、图形化、数字化方式呈现，检测流程运行的健康度，进行管理透视，驱动流程效率、优化管理制度。</w:t>
      </w:r>
    </w:p>
    <w:p>
      <w:pPr>
        <w:pStyle w:val="5"/>
        <w:bidi w:val="0"/>
        <w:rPr>
          <w:rFonts w:hint="eastAsia"/>
          <w:lang w:val="en-US" w:eastAsia="zh-CN"/>
        </w:rPr>
      </w:pPr>
      <w:bookmarkStart w:id="11" w:name="_Toc55050074"/>
      <w:r>
        <w:rPr>
          <w:rFonts w:hint="eastAsia"/>
          <w:lang w:val="en-US" w:eastAsia="zh-CN"/>
        </w:rPr>
        <w:t>工资条管理</w:t>
      </w:r>
      <w:bookmarkEnd w:id="11"/>
    </w:p>
    <w:p>
      <w:pPr>
        <w:spacing w:after="180" w:afterLines="5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工资条管理可实现支持线下计算好工资信息，批量导入到系统，并且人事专员审核通过即可分发给各用户进行工作条信息查询。</w:t>
      </w:r>
    </w:p>
    <w:p>
      <w:pPr>
        <w:pStyle w:val="5"/>
        <w:bidi w:val="0"/>
        <w:rPr>
          <w:rFonts w:hint="eastAsia"/>
          <w:lang w:val="en-US" w:eastAsia="zh-CN"/>
        </w:rPr>
      </w:pPr>
      <w:bookmarkStart w:id="12" w:name="_Toc1808625508"/>
      <w:r>
        <w:rPr>
          <w:rFonts w:hint="eastAsia"/>
          <w:lang w:val="en-US" w:eastAsia="zh-CN"/>
        </w:rPr>
        <w:t>考勤管理</w:t>
      </w:r>
      <w:bookmarkEnd w:id="12"/>
    </w:p>
    <w:p>
      <w:pPr>
        <w:spacing w:after="180" w:afterLines="5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实现获取员工考勤机（目前市场上所有主流考勤机硬件设备）打卡数据，与系统考勤类流程相结合，自动形成考勤明细报表和考勤统计汇总报表，按照一定的数据权限控制提供员工自助查询功能。移动APP支持定点打卡和外勤打卡等多种打卡方式。</w:t>
      </w:r>
    </w:p>
    <w:p>
      <w:pPr>
        <w:pStyle w:val="5"/>
        <w:bidi w:val="0"/>
        <w:rPr>
          <w:rFonts w:hint="default"/>
          <w:lang w:val="en-US" w:eastAsia="zh-CN"/>
        </w:rPr>
      </w:pPr>
      <w:bookmarkStart w:id="13" w:name="_Toc2085373318"/>
      <w:r>
        <w:rPr>
          <w:rFonts w:hint="eastAsia"/>
          <w:lang w:val="en-US" w:eastAsia="zh-Hans"/>
        </w:rPr>
        <w:t>人事</w:t>
      </w:r>
      <w:r>
        <w:rPr>
          <w:rFonts w:hint="eastAsia"/>
          <w:lang w:val="en-US" w:eastAsia="zh-CN"/>
        </w:rPr>
        <w:t>管理</w:t>
      </w:r>
      <w:bookmarkEnd w:id="13"/>
      <w:r>
        <w:rPr>
          <w:rFonts w:hint="eastAsia" w:asciiTheme="minorEastAsia" w:hAnsiTheme="minorEastAsia" w:eastAsiaTheme="minorEastAsia" w:cstheme="minorEastAsia"/>
          <w:sz w:val="24"/>
          <w:szCs w:val="24"/>
          <w:lang w:val="en-US" w:eastAsia="zh-CN"/>
        </w:rPr>
        <w:t>▲</w:t>
      </w:r>
    </w:p>
    <w:p>
      <w:pPr>
        <w:spacing w:after="180" w:afterLines="50"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(1)组织架构与组织人事</w:t>
      </w:r>
    </w:p>
    <w:p>
      <w:pPr>
        <w:spacing w:after="180" w:afterLines="5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组织管理：支持树形结构全方位的记录单位的整个组织结构信息，支持多维度、多层级的实体与虚拟组织的设置。同时提供组织机构调整的功能，同时调整组织机构下的人员情况。</w:t>
      </w:r>
    </w:p>
    <w:p>
      <w:pPr>
        <w:spacing w:after="180" w:afterLines="5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组织机构管理：支持管理员在系统中进行新增、修改、合并、撤销、上移、下移、变更等管理操作。同时支持基于时间轴对组织、人员等业务变动进行跟踪和管理，可查询指定时间点或指定时间段内的组织和人员变动情况，并进行统计分析。</w:t>
      </w:r>
    </w:p>
    <w:p>
      <w:pPr>
        <w:spacing w:after="180" w:afterLines="5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组织机构图：组织机构的查看可以不仅可查看树形的组织架构，也可查看图片形式的组织架构图。组织架构图可从区域、部门、职能等多个维度进行维护，支持从组织、部门、岗位不同层次等不同层次查询组织机构图，分别输出集团、人力资源组织、行政组织等不同范围的组织结构图。</w:t>
      </w:r>
    </w:p>
    <w:p>
      <w:pPr>
        <w:spacing w:after="180" w:afterLines="5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组织机构版本管理：系统支持组织机构的版本化管理。在组织机构版本列表中，查看以往所有的组织机构、部门版本，以及组织机构、部门的详细信息。</w:t>
      </w:r>
    </w:p>
    <w:p>
      <w:pPr>
        <w:spacing w:after="180" w:afterLines="5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(2)员工信息管理</w:t>
      </w:r>
    </w:p>
    <w:p>
      <w:pPr>
        <w:spacing w:after="180" w:afterLines="5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系统实现公司员工基础信息的管理，从员工入职、在职到离职，再到员工返聘/再聘的整个的全生命周期管理。</w:t>
      </w:r>
    </w:p>
    <w:p>
      <w:pPr>
        <w:spacing w:after="180" w:afterLines="5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入职管理：实现对新员工入职的登记管理，也可结合流程管理，通过入职流程的申请、审批后，即可完成新员工的入职登记，同时转入人员档案信息。</w:t>
      </w:r>
    </w:p>
    <w:p>
      <w:pPr>
        <w:spacing w:after="180" w:afterLines="5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员工档案管理：实现对人员信息全面、准确的管理，在系统中建立员工从入职到调岗、离职的全过程人事档案管理。</w:t>
      </w:r>
    </w:p>
    <w:p>
      <w:pPr>
        <w:spacing w:after="180" w:afterLines="5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人员变动管理：可依据员工的转正、晋升、降职、平调、离职、轮岗、跨公司调动、离休、退休、下岗、辞职、退职、辞退等变动类型。通过对这些人员变动业务的管理，可设置各种人员变动的业务流程申请和审核，结合流程，进行人员变动的电子化审批管理。实现完整的记录员工从入职到离职发生的所有过程，进行人员的全生命周期的管理。</w:t>
      </w:r>
    </w:p>
    <w:p>
      <w:pPr>
        <w:spacing w:after="180" w:afterLines="5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组织管理效率测评：</w:t>
      </w:r>
      <w:r>
        <w:rPr>
          <w:rFonts w:hint="eastAsia" w:asciiTheme="minorEastAsia" w:hAnsiTheme="minorEastAsia" w:eastAsiaTheme="minorEastAsia" w:cstheme="minorEastAsia"/>
          <w:sz w:val="24"/>
          <w:szCs w:val="24"/>
          <w:lang w:val="en-US" w:eastAsia="zh-Hans"/>
        </w:rPr>
        <w:t>投标人所投产品</w:t>
      </w:r>
      <w:r>
        <w:rPr>
          <w:rFonts w:hint="eastAsia" w:asciiTheme="minorEastAsia" w:hAnsiTheme="minorEastAsia" w:eastAsiaTheme="minorEastAsia" w:cstheme="minorEastAsia"/>
          <w:sz w:val="24"/>
          <w:szCs w:val="24"/>
          <w:lang w:val="en-US" w:eastAsia="zh-CN"/>
        </w:rPr>
        <w:t>具有组织管理效率测评功能，需提供国家认可的具有检测资质的检测机构出具的关于组织管理效率测评功能的检测报告或相关证书。</w:t>
      </w:r>
    </w:p>
    <w:p>
      <w:pPr>
        <w:pStyle w:val="5"/>
        <w:bidi w:val="0"/>
        <w:rPr>
          <w:rFonts w:hint="eastAsia"/>
          <w:lang w:val="en-US" w:eastAsia="zh-Hans"/>
        </w:rPr>
      </w:pPr>
      <w:bookmarkStart w:id="14" w:name="_Toc1936236586"/>
      <w:r>
        <w:rPr>
          <w:rFonts w:hint="eastAsia"/>
          <w:lang w:val="en-US" w:eastAsia="zh-Hans"/>
        </w:rPr>
        <w:t>财务管理</w:t>
      </w:r>
      <w:bookmarkEnd w:id="14"/>
    </w:p>
    <w:p>
      <w:pPr>
        <w:spacing w:after="180" w:afterLines="5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实现用户可以通过系统填写报销单，当电子报销单流转到财务部时，用户可以在电脑端打印电子报销单，并在报销单后面黏贴发票，将报销单定期批量送达财务部，财务中心可集中在信息系统中确认收到纸质报销单及发票，并线下审批纸质发票的合规性，可结合二维码扫描枪进行批量操作；财务部用户可对报销单退回、意见征询等操作；非报销发起人、非财务口人员仅需在信息系统中进行操作，可通过电脑、手机移动设备进行审批确认，保证</w:t>
      </w:r>
      <w:r>
        <w:rPr>
          <w:rFonts w:hint="eastAsia" w:asciiTheme="minorEastAsia" w:hAnsiTheme="minorEastAsia" w:eastAsiaTheme="minorEastAsia" w:cstheme="minorEastAsia"/>
          <w:sz w:val="24"/>
          <w:szCs w:val="24"/>
          <w:lang w:val="en-US" w:eastAsia="zh-Hans"/>
        </w:rPr>
        <w:t>企业</w:t>
      </w:r>
      <w:r>
        <w:rPr>
          <w:rFonts w:hint="eastAsia" w:asciiTheme="minorEastAsia" w:hAnsiTheme="minorEastAsia" w:eastAsiaTheme="minorEastAsia" w:cstheme="minorEastAsia"/>
          <w:sz w:val="24"/>
          <w:szCs w:val="24"/>
          <w:lang w:val="en-US" w:eastAsia="zh-CN"/>
        </w:rPr>
        <w:t>内部的高效电子化报销。</w:t>
      </w:r>
    </w:p>
    <w:p>
      <w:pPr>
        <w:pStyle w:val="5"/>
        <w:bidi w:val="0"/>
        <w:rPr>
          <w:rFonts w:hint="eastAsia"/>
          <w:lang w:val="en-US" w:eastAsia="zh-CN"/>
        </w:rPr>
      </w:pPr>
      <w:bookmarkStart w:id="15" w:name="_Toc1508597911"/>
      <w:r>
        <w:rPr>
          <w:rFonts w:hint="eastAsia"/>
          <w:lang w:val="en-US" w:eastAsia="zh-CN"/>
        </w:rPr>
        <w:t>用户许可</w:t>
      </w:r>
      <w:r>
        <w:rPr>
          <w:rFonts w:hint="eastAsia"/>
          <w:lang w:val="en-US" w:eastAsia="zh-Hans"/>
        </w:rPr>
        <w:t>数</w:t>
      </w:r>
      <w:bookmarkEnd w:id="15"/>
    </w:p>
    <w:p>
      <w:pPr>
        <w:spacing w:after="180" w:afterLines="5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本次OA系统采购电脑端（200</w:t>
      </w:r>
      <w:r>
        <w:rPr>
          <w:rFonts w:hint="eastAsia" w:asciiTheme="minorEastAsia" w:hAnsiTheme="minorEastAsia" w:eastAsiaTheme="minorEastAsia" w:cstheme="minorEastAsia"/>
          <w:sz w:val="24"/>
          <w:szCs w:val="24"/>
          <w:lang w:val="en-US" w:eastAsia="zh-Hans"/>
        </w:rPr>
        <w:t>个并发</w:t>
      </w:r>
      <w:r>
        <w:rPr>
          <w:rFonts w:hint="eastAsia" w:asciiTheme="minorEastAsia" w:hAnsiTheme="minorEastAsia" w:eastAsiaTheme="minorEastAsia" w:cstheme="minorEastAsia"/>
          <w:sz w:val="24"/>
          <w:szCs w:val="24"/>
          <w:lang w:val="en-US" w:eastAsia="zh-CN"/>
        </w:rPr>
        <w:t>）和移动端（200个</w:t>
      </w:r>
      <w:r>
        <w:rPr>
          <w:rFonts w:hint="eastAsia" w:asciiTheme="minorEastAsia" w:hAnsiTheme="minorEastAsia" w:eastAsiaTheme="minorEastAsia" w:cstheme="minorEastAsia"/>
          <w:sz w:val="24"/>
          <w:szCs w:val="24"/>
          <w:lang w:val="en-US" w:eastAsia="zh-Hans"/>
        </w:rPr>
        <w:t>并发）</w:t>
      </w:r>
      <w:r>
        <w:rPr>
          <w:rFonts w:hint="eastAsia" w:asciiTheme="minorEastAsia" w:hAnsiTheme="minorEastAsia" w:eastAsiaTheme="minorEastAsia" w:cstheme="minorEastAsia"/>
          <w:sz w:val="24"/>
          <w:szCs w:val="24"/>
          <w:lang w:val="en-US" w:eastAsia="zh-CN"/>
        </w:rPr>
        <w:t>用户数核定。</w:t>
      </w:r>
    </w:p>
    <w:p>
      <w:pPr>
        <w:pStyle w:val="4"/>
        <w:bidi w:val="0"/>
        <w:jc w:val="left"/>
        <w:rPr>
          <w:rFonts w:hint="eastAsia"/>
          <w:lang w:val="en-US" w:eastAsia="zh-Hans"/>
        </w:rPr>
      </w:pPr>
      <w:bookmarkStart w:id="16" w:name="_Toc1813153695"/>
      <w:bookmarkStart w:id="17" w:name="_Toc42571096"/>
      <w:bookmarkStart w:id="18" w:name="_Toc394321182"/>
      <w:bookmarkStart w:id="19" w:name="_Toc37131082"/>
      <w:bookmarkStart w:id="20" w:name="_Toc323308331"/>
      <w:bookmarkStart w:id="21" w:name="_Toc356983305"/>
      <w:r>
        <w:rPr>
          <w:rFonts w:hint="eastAsia"/>
          <w:lang w:val="en-US" w:eastAsia="zh-Hans"/>
        </w:rPr>
        <w:t>非功能需求</w:t>
      </w:r>
      <w:bookmarkEnd w:id="16"/>
    </w:p>
    <w:p>
      <w:pPr>
        <w:pStyle w:val="5"/>
        <w:bidi w:val="0"/>
        <w:rPr>
          <w:rFonts w:hint="eastAsia" w:ascii="宋体" w:hAnsi="宋体" w:eastAsia="宋体" w:cs="宋体"/>
          <w:sz w:val="24"/>
          <w:szCs w:val="24"/>
        </w:rPr>
      </w:pPr>
      <w:bookmarkStart w:id="22" w:name="_Toc881200935"/>
      <w:r>
        <w:rPr>
          <w:rStyle w:val="11"/>
          <w:rFonts w:hint="eastAsia" w:asciiTheme="minorEastAsia" w:hAnsiTheme="minorEastAsia" w:eastAsiaTheme="minorEastAsia" w:cstheme="minorEastAsia"/>
          <w:b/>
          <w:spacing w:val="0"/>
          <w:sz w:val="24"/>
          <w:szCs w:val="24"/>
        </w:rPr>
        <w:t>稳定性需求</w:t>
      </w:r>
      <w:bookmarkEnd w:id="22"/>
      <w:r>
        <w:rPr>
          <w:rStyle w:val="11"/>
          <w:rFonts w:hint="eastAsia" w:asciiTheme="minorEastAsia" w:hAnsiTheme="minorEastAsia" w:eastAsiaTheme="minorEastAsia" w:cstheme="minorEastAsia"/>
          <w:b/>
          <w:spacing w:val="0"/>
          <w:sz w:val="24"/>
          <w:szCs w:val="24"/>
        </w:rPr>
        <w:t>▲</w:t>
      </w:r>
    </w:p>
    <w:p>
      <w:pPr>
        <w:spacing w:after="180" w:afterLines="50" w:line="360" w:lineRule="auto"/>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稳定性支持：系统提供全年365天正常运转。当发生可能危及网络安全和</w:t>
      </w:r>
      <w:r>
        <w:rPr>
          <w:rFonts w:hint="eastAsia" w:asciiTheme="minorEastAsia" w:hAnsiTheme="minorEastAsia" w:eastAsiaTheme="minorEastAsia" w:cstheme="minorEastAsia"/>
          <w:sz w:val="24"/>
          <w:szCs w:val="24"/>
          <w:lang w:val="en-US" w:eastAsia="zh-CN"/>
        </w:rPr>
        <w:t>公司</w:t>
      </w:r>
      <w:r>
        <w:rPr>
          <w:rFonts w:hint="eastAsia" w:asciiTheme="minorEastAsia" w:hAnsiTheme="minorEastAsia" w:eastAsiaTheme="minorEastAsia" w:cstheme="minorEastAsia"/>
          <w:sz w:val="24"/>
          <w:szCs w:val="24"/>
          <w:lang w:eastAsia="zh-Hans"/>
        </w:rPr>
        <w:t>重大利益的风险或隐患时，能够由服务方提供7*24小时的在线应急响应，必要时派人上门提供现场技术支持。</w:t>
      </w:r>
      <w:r>
        <w:rPr>
          <w:rFonts w:hint="eastAsia" w:asciiTheme="minorEastAsia" w:hAnsiTheme="minorEastAsia" w:eastAsiaTheme="minorEastAsia" w:cstheme="minorEastAsia"/>
          <w:sz w:val="24"/>
          <w:szCs w:val="24"/>
          <w:lang w:eastAsia="zh-Hans"/>
        </w:rPr>
        <w:br w:type="textWrapping"/>
      </w:r>
      <w:r>
        <w:rPr>
          <w:rFonts w:hint="eastAsia" w:asciiTheme="minorEastAsia" w:hAnsiTheme="minorEastAsia" w:eastAsiaTheme="minorEastAsia" w:cstheme="minorEastAsia"/>
          <w:sz w:val="24"/>
          <w:szCs w:val="24"/>
          <w:lang w:eastAsia="zh-Hans"/>
        </w:rPr>
        <w:t>   系统响应：在互联网等不同网络环境下，均能实现PC端、手机端登录和调用系统内各页面、调用控件的及时响应。</w:t>
      </w:r>
      <w:r>
        <w:rPr>
          <w:rFonts w:hint="eastAsia" w:asciiTheme="minorEastAsia" w:hAnsiTheme="minorEastAsia" w:eastAsiaTheme="minorEastAsia" w:cstheme="minorEastAsia"/>
          <w:sz w:val="24"/>
          <w:szCs w:val="24"/>
          <w:lang w:eastAsia="zh-Hans"/>
        </w:rPr>
        <w:br w:type="textWrapping"/>
      </w:r>
      <w:r>
        <w:rPr>
          <w:rFonts w:hint="eastAsia" w:asciiTheme="minorEastAsia" w:hAnsiTheme="minorEastAsia" w:eastAsiaTheme="minorEastAsia" w:cstheme="minorEastAsia"/>
          <w:sz w:val="24"/>
          <w:szCs w:val="24"/>
          <w:lang w:eastAsia="zh-Hans"/>
        </w:rPr>
        <w:t>   故障恢复：出现故障应能及时告警，并能实现故障迁移和数据恢复。保证系统在内部、外部不可预知的错误情况下，能够提供正确的处理机制。</w:t>
      </w:r>
      <w:r>
        <w:rPr>
          <w:rFonts w:hint="eastAsia" w:asciiTheme="minorEastAsia" w:hAnsiTheme="minorEastAsia" w:eastAsiaTheme="minorEastAsia" w:cstheme="minorEastAsia"/>
          <w:sz w:val="24"/>
          <w:szCs w:val="24"/>
          <w:lang w:eastAsia="zh-Hans"/>
        </w:rPr>
        <w:br w:type="textWrapping"/>
      </w:r>
      <w:r>
        <w:rPr>
          <w:rFonts w:hint="eastAsia" w:asciiTheme="minorEastAsia" w:hAnsiTheme="minorEastAsia" w:eastAsiaTheme="minorEastAsia" w:cstheme="minorEastAsia"/>
          <w:sz w:val="24"/>
          <w:szCs w:val="24"/>
          <w:lang w:eastAsia="zh-Hans"/>
        </w:rPr>
        <w:t xml:space="preserve">    服务软件：</w:t>
      </w:r>
      <w:r>
        <w:rPr>
          <w:rFonts w:hint="eastAsia" w:asciiTheme="minorEastAsia" w:hAnsiTheme="minorEastAsia" w:eastAsiaTheme="minorEastAsia" w:cstheme="minorEastAsia"/>
          <w:sz w:val="24"/>
          <w:szCs w:val="24"/>
          <w:lang w:val="en-US" w:eastAsia="zh-Hans"/>
        </w:rPr>
        <w:t>投标人所投产品</w:t>
      </w:r>
      <w:r>
        <w:rPr>
          <w:rFonts w:hint="eastAsia" w:asciiTheme="minorEastAsia" w:hAnsiTheme="minorEastAsia" w:eastAsiaTheme="minorEastAsia" w:cstheme="minorEastAsia"/>
          <w:sz w:val="24"/>
          <w:szCs w:val="24"/>
          <w:lang w:eastAsia="zh-Hans"/>
        </w:rPr>
        <w:t>提供运维监控、服务启／停配置、一键巡检、数据库备份、自主服务和增值服务等功能，需提供第三方出具的服务软件的相关测试报告。</w:t>
      </w:r>
    </w:p>
    <w:p>
      <w:pPr>
        <w:pStyle w:val="5"/>
        <w:bidi w:val="0"/>
        <w:rPr>
          <w:rFonts w:hint="eastAsia"/>
          <w:lang w:val="en-US" w:eastAsia="zh-Hans"/>
        </w:rPr>
      </w:pPr>
      <w:bookmarkStart w:id="23" w:name="_Toc1296884833"/>
      <w:r>
        <w:rPr>
          <w:rFonts w:hint="eastAsia"/>
          <w:lang w:val="en-US" w:eastAsia="zh-Hans"/>
        </w:rPr>
        <w:t>安全性需求</w:t>
      </w:r>
      <w:bookmarkEnd w:id="23"/>
      <w:r>
        <w:rPr>
          <w:rStyle w:val="11"/>
          <w:rFonts w:hint="eastAsia" w:asciiTheme="minorEastAsia" w:hAnsiTheme="minorEastAsia" w:eastAsiaTheme="minorEastAsia" w:cstheme="minorEastAsia"/>
          <w:b/>
          <w:spacing w:val="0"/>
          <w:sz w:val="24"/>
          <w:szCs w:val="24"/>
        </w:rPr>
        <w:t>▲</w:t>
      </w:r>
    </w:p>
    <w:p>
      <w:pPr>
        <w:pStyle w:val="13"/>
        <w:numPr>
          <w:ilvl w:val="0"/>
          <w:numId w:val="0"/>
        </w:numPr>
        <w:spacing w:line="360" w:lineRule="auto"/>
        <w:ind w:firstLine="480" w:firstLineChars="200"/>
        <w:rPr>
          <w:rFonts w:hint="eastAsia" w:asciiTheme="minorEastAsia" w:hAnsiTheme="minorEastAsia" w:eastAsiaTheme="minorEastAsia" w:cstheme="minorEastAsia"/>
          <w:kern w:val="2"/>
          <w:sz w:val="24"/>
          <w:szCs w:val="24"/>
          <w:lang w:val="en-US" w:eastAsia="zh-Hans" w:bidi="ar-SA"/>
        </w:rPr>
      </w:pPr>
      <w:r>
        <w:rPr>
          <w:rFonts w:hint="eastAsia" w:asciiTheme="minorEastAsia" w:hAnsiTheme="minorEastAsia" w:eastAsiaTheme="minorEastAsia" w:cstheme="minorEastAsia"/>
          <w:kern w:val="2"/>
          <w:sz w:val="24"/>
          <w:szCs w:val="24"/>
          <w:lang w:val="en-US" w:eastAsia="zh-Hans" w:bidi="ar-SA"/>
        </w:rPr>
        <w:t>中高强度口令：强制修改初始口令。修改口令时，必须使用字母+数字组合等8位以上的中高强度口令。</w:t>
      </w:r>
      <w:r>
        <w:rPr>
          <w:rFonts w:hint="eastAsia" w:asciiTheme="minorEastAsia" w:hAnsiTheme="minorEastAsia" w:eastAsiaTheme="minorEastAsia" w:cstheme="minorEastAsia"/>
          <w:kern w:val="2"/>
          <w:sz w:val="24"/>
          <w:szCs w:val="24"/>
          <w:lang w:val="en-US" w:eastAsia="zh-Hans" w:bidi="ar-SA"/>
        </w:rPr>
        <w:br w:type="textWrapping"/>
      </w:r>
      <w:r>
        <w:rPr>
          <w:rFonts w:hint="eastAsia" w:asciiTheme="minorEastAsia" w:hAnsiTheme="minorEastAsia" w:eastAsiaTheme="minorEastAsia" w:cstheme="minorEastAsia"/>
          <w:kern w:val="2"/>
          <w:sz w:val="24"/>
          <w:szCs w:val="24"/>
          <w:lang w:val="en-US" w:eastAsia="zh-Hans" w:bidi="ar-SA"/>
        </w:rPr>
        <w:t>   加密储存：对用户口令，工号、姓名、单位、职务等身份信息，单位电子签章和个人签名图样，非公开的文件资料等加密储存。</w:t>
      </w:r>
      <w:r>
        <w:rPr>
          <w:rFonts w:hint="eastAsia" w:asciiTheme="minorEastAsia" w:hAnsiTheme="minorEastAsia" w:eastAsiaTheme="minorEastAsia" w:cstheme="minorEastAsia"/>
          <w:kern w:val="2"/>
          <w:sz w:val="24"/>
          <w:szCs w:val="24"/>
          <w:lang w:val="en-US" w:eastAsia="zh-Hans" w:bidi="ar-SA"/>
        </w:rPr>
        <w:br w:type="textWrapping"/>
      </w:r>
      <w:r>
        <w:rPr>
          <w:rFonts w:hint="eastAsia" w:asciiTheme="minorEastAsia" w:hAnsiTheme="minorEastAsia" w:eastAsiaTheme="minorEastAsia" w:cstheme="minorEastAsia"/>
          <w:kern w:val="2"/>
          <w:sz w:val="24"/>
          <w:szCs w:val="24"/>
          <w:lang w:val="en-US" w:eastAsia="zh-Hans" w:bidi="ar-SA"/>
        </w:rPr>
        <w:t>   通讯录保护：单位通讯录分级可见，普通用户可查看本单位通讯录，各级领导可查看本单位、全校平级和上一级的通讯录。</w:t>
      </w:r>
      <w:r>
        <w:rPr>
          <w:rFonts w:hint="eastAsia" w:asciiTheme="minorEastAsia" w:hAnsiTheme="minorEastAsia" w:eastAsiaTheme="minorEastAsia" w:cstheme="minorEastAsia"/>
          <w:kern w:val="2"/>
          <w:sz w:val="24"/>
          <w:szCs w:val="24"/>
          <w:lang w:val="en-US" w:eastAsia="zh-Hans" w:bidi="ar-SA"/>
        </w:rPr>
        <w:br w:type="textWrapping"/>
      </w:r>
      <w:r>
        <w:rPr>
          <w:rFonts w:hint="eastAsia" w:asciiTheme="minorEastAsia" w:hAnsiTheme="minorEastAsia" w:eastAsiaTheme="minorEastAsia" w:cstheme="minorEastAsia"/>
          <w:kern w:val="2"/>
          <w:sz w:val="24"/>
          <w:szCs w:val="24"/>
          <w:lang w:val="en-US" w:eastAsia="zh-Hans" w:bidi="ar-SA"/>
        </w:rPr>
        <w:t>   发布范围：公文、流程等可选择发布对象，可按一定范围或层级发布。</w:t>
      </w:r>
      <w:r>
        <w:rPr>
          <w:rFonts w:hint="eastAsia" w:asciiTheme="minorEastAsia" w:hAnsiTheme="minorEastAsia" w:eastAsiaTheme="minorEastAsia" w:cstheme="minorEastAsia"/>
          <w:kern w:val="2"/>
          <w:sz w:val="24"/>
          <w:szCs w:val="24"/>
          <w:lang w:val="en-US" w:eastAsia="zh-Hans" w:bidi="ar-SA"/>
        </w:rPr>
        <w:br w:type="textWrapping"/>
      </w:r>
      <w:r>
        <w:rPr>
          <w:rFonts w:hint="eastAsia" w:asciiTheme="minorEastAsia" w:hAnsiTheme="minorEastAsia" w:eastAsiaTheme="minorEastAsia" w:cstheme="minorEastAsia"/>
          <w:kern w:val="2"/>
          <w:sz w:val="24"/>
          <w:szCs w:val="24"/>
          <w:lang w:val="en-US" w:eastAsia="zh-Hans" w:bidi="ar-SA"/>
        </w:rPr>
        <w:t>   限制转发：可以允许或禁止转发，也可设置仅允许在一定范围和层级内转发。</w:t>
      </w:r>
      <w:r>
        <w:rPr>
          <w:rFonts w:hint="eastAsia" w:asciiTheme="minorEastAsia" w:hAnsiTheme="minorEastAsia" w:eastAsiaTheme="minorEastAsia" w:cstheme="minorEastAsia"/>
          <w:kern w:val="2"/>
          <w:sz w:val="24"/>
          <w:szCs w:val="24"/>
          <w:lang w:val="en-US" w:eastAsia="zh-Hans" w:bidi="ar-SA"/>
        </w:rPr>
        <w:br w:type="textWrapping"/>
      </w:r>
      <w:r>
        <w:rPr>
          <w:rFonts w:hint="eastAsia" w:asciiTheme="minorEastAsia" w:hAnsiTheme="minorEastAsia" w:eastAsiaTheme="minorEastAsia" w:cstheme="minorEastAsia"/>
          <w:kern w:val="2"/>
          <w:sz w:val="24"/>
          <w:szCs w:val="24"/>
          <w:lang w:val="en-US" w:eastAsia="zh-Hans" w:bidi="ar-SA"/>
        </w:rPr>
        <w:t>   安全水印：可在关键文档的浏览界面生成带有浏览者的账户名和时间戳的水印，防止伪造、泄密，并便于在发生泄密和疑似篡改时追查问题来源。</w:t>
      </w:r>
      <w:r>
        <w:rPr>
          <w:rFonts w:hint="eastAsia" w:asciiTheme="minorEastAsia" w:hAnsiTheme="minorEastAsia" w:eastAsiaTheme="minorEastAsia" w:cstheme="minorEastAsia"/>
          <w:kern w:val="2"/>
          <w:sz w:val="24"/>
          <w:szCs w:val="24"/>
          <w:lang w:val="en-US" w:eastAsia="zh-Hans" w:bidi="ar-SA"/>
        </w:rPr>
        <w:br w:type="textWrapping"/>
      </w:r>
      <w:r>
        <w:rPr>
          <w:rFonts w:hint="eastAsia" w:asciiTheme="minorEastAsia" w:hAnsiTheme="minorEastAsia" w:eastAsiaTheme="minorEastAsia" w:cstheme="minorEastAsia"/>
          <w:kern w:val="2"/>
          <w:sz w:val="24"/>
          <w:szCs w:val="24"/>
          <w:lang w:val="en-US" w:eastAsia="zh-Hans" w:bidi="ar-SA"/>
        </w:rPr>
        <w:t>   阅后撤销：拟稿人发起的公文、流程可以手动撤销，可以设置到期自动撤销。</w:t>
      </w:r>
      <w:r>
        <w:rPr>
          <w:rFonts w:hint="eastAsia" w:asciiTheme="minorEastAsia" w:hAnsiTheme="minorEastAsia" w:eastAsiaTheme="minorEastAsia" w:cstheme="minorEastAsia"/>
          <w:kern w:val="2"/>
          <w:sz w:val="24"/>
          <w:szCs w:val="24"/>
          <w:lang w:val="en-US" w:eastAsia="zh-Hans" w:bidi="ar-SA"/>
        </w:rPr>
        <w:br w:type="textWrapping"/>
      </w:r>
      <w:r>
        <w:rPr>
          <w:rFonts w:hint="eastAsia" w:asciiTheme="minorEastAsia" w:hAnsiTheme="minorEastAsia" w:eastAsiaTheme="minorEastAsia" w:cstheme="minorEastAsia"/>
          <w:kern w:val="2"/>
          <w:sz w:val="24"/>
          <w:szCs w:val="24"/>
          <w:lang w:val="en-US" w:eastAsia="zh-CN" w:bidi="ar-SA"/>
        </w:rPr>
        <w:t xml:space="preserve">    </w:t>
      </w:r>
      <w:r>
        <w:rPr>
          <w:rFonts w:hint="eastAsia" w:asciiTheme="minorEastAsia" w:hAnsiTheme="minorEastAsia" w:eastAsiaTheme="minorEastAsia" w:cstheme="minorEastAsia"/>
          <w:kern w:val="2"/>
          <w:sz w:val="24"/>
          <w:szCs w:val="24"/>
          <w:lang w:val="en-US" w:eastAsia="zh-Hans" w:bidi="ar-SA"/>
        </w:rPr>
        <w:t>密码标准化：密码应用应符合密码技术国家标准，应使用国产密码或其他当前主流的密码算法。</w:t>
      </w:r>
      <w:r>
        <w:rPr>
          <w:rFonts w:hint="eastAsia" w:asciiTheme="minorEastAsia" w:hAnsiTheme="minorEastAsia" w:eastAsiaTheme="minorEastAsia" w:cstheme="minorEastAsia"/>
          <w:kern w:val="2"/>
          <w:sz w:val="24"/>
          <w:szCs w:val="24"/>
          <w:lang w:val="en-US" w:eastAsia="zh-Hans" w:bidi="ar-SA"/>
        </w:rPr>
        <w:br w:type="textWrapping"/>
      </w:r>
      <w:r>
        <w:rPr>
          <w:rFonts w:hint="eastAsia" w:asciiTheme="minorEastAsia" w:hAnsiTheme="minorEastAsia" w:eastAsiaTheme="minorEastAsia" w:cstheme="minorEastAsia"/>
          <w:kern w:val="2"/>
          <w:sz w:val="24"/>
          <w:szCs w:val="24"/>
          <w:lang w:val="en-US" w:eastAsia="zh-Hans" w:bidi="ar-SA"/>
        </w:rPr>
        <w:t xml:space="preserve">   数据加密：投保人所投产品应具有数据加密、装置及数据解密，需提供国家认可的具有检测资质的检测机构出具的关于数据加密、装置及数据解密的检测报告或相关证书。</w:t>
      </w:r>
      <w:r>
        <w:rPr>
          <w:rFonts w:hint="eastAsia" w:asciiTheme="minorEastAsia" w:hAnsiTheme="minorEastAsia" w:eastAsiaTheme="minorEastAsia" w:cstheme="minorEastAsia"/>
          <w:kern w:val="2"/>
          <w:sz w:val="24"/>
          <w:szCs w:val="24"/>
          <w:lang w:val="en-US" w:eastAsia="zh-Hans" w:bidi="ar-SA"/>
        </w:rPr>
        <w:br w:type="textWrapping"/>
      </w:r>
      <w:r>
        <w:rPr>
          <w:rFonts w:hint="eastAsia" w:asciiTheme="minorEastAsia" w:hAnsiTheme="minorEastAsia" w:eastAsiaTheme="minorEastAsia" w:cstheme="minorEastAsia"/>
          <w:kern w:val="2"/>
          <w:sz w:val="24"/>
          <w:szCs w:val="24"/>
          <w:lang w:val="en-US" w:eastAsia="zh-Hans" w:bidi="ar-SA"/>
        </w:rPr>
        <w:t xml:space="preserve">   电子文档加密：投保人所投产品应具有电子文档的加解密功能，需提供国家认可的具有检测资质的检测机构出具的关于电子文档的加解密功能的检测报告或相关证书。</w:t>
      </w:r>
      <w:r>
        <w:rPr>
          <w:rFonts w:hint="eastAsia" w:asciiTheme="minorEastAsia" w:hAnsiTheme="minorEastAsia" w:eastAsiaTheme="minorEastAsia" w:cstheme="minorEastAsia"/>
          <w:kern w:val="2"/>
          <w:sz w:val="24"/>
          <w:szCs w:val="24"/>
          <w:lang w:val="en-US" w:eastAsia="zh-Hans" w:bidi="ar-SA"/>
        </w:rPr>
        <w:br w:type="textWrapping"/>
      </w:r>
      <w:r>
        <w:rPr>
          <w:rFonts w:hint="eastAsia" w:asciiTheme="minorEastAsia" w:hAnsiTheme="minorEastAsia" w:eastAsiaTheme="minorEastAsia" w:cstheme="minorEastAsia"/>
          <w:kern w:val="2"/>
          <w:sz w:val="24"/>
          <w:szCs w:val="24"/>
          <w:lang w:val="en-US" w:eastAsia="zh-Hans" w:bidi="ar-SA"/>
        </w:rPr>
        <w:t xml:space="preserve">   文件下载控制：投保人所投产品应具有客户端、服务端的文件下载控制，需提供国家认可的具有检测资质的检测机构出具的关于客户端、服务端的文件下载控制的检测报告或相关证书。</w:t>
      </w:r>
    </w:p>
    <w:p>
      <w:pPr>
        <w:pStyle w:val="5"/>
        <w:bidi w:val="0"/>
        <w:rPr>
          <w:rFonts w:hint="eastAsia"/>
        </w:rPr>
      </w:pPr>
      <w:bookmarkStart w:id="24" w:name="_Toc1931854828"/>
      <w:r>
        <w:rPr>
          <w:rFonts w:hint="eastAsia"/>
          <w:lang w:val="en-US" w:eastAsia="zh-Hans"/>
        </w:rPr>
        <w:t>容错性需求</w:t>
      </w:r>
      <w:bookmarkEnd w:id="24"/>
    </w:p>
    <w:p>
      <w:pPr>
        <w:spacing w:after="180" w:afterLines="50" w:line="360" w:lineRule="auto"/>
        <w:ind w:firstLine="480" w:firstLineChars="200"/>
        <w:rPr>
          <w:rFonts w:hint="eastAsia" w:ascii="微软雅黑" w:hAnsi="微软雅黑" w:eastAsia="微软雅黑" w:cs="微软雅黑"/>
          <w:lang w:eastAsia="zh-Hans"/>
        </w:rPr>
      </w:pPr>
      <w:r>
        <w:rPr>
          <w:rFonts w:hint="eastAsia" w:asciiTheme="minorEastAsia" w:hAnsiTheme="minorEastAsia" w:eastAsiaTheme="minorEastAsia" w:cstheme="minorEastAsia"/>
          <w:sz w:val="24"/>
          <w:szCs w:val="24"/>
          <w:lang w:eastAsia="zh-Hans"/>
        </w:rPr>
        <w:t>模块化：保证某个应用进程或模块出现的故障不会导致其他进程或模块不可用，也不会导致系统崩溃。</w:t>
      </w:r>
      <w:r>
        <w:rPr>
          <w:rFonts w:hint="eastAsia" w:asciiTheme="minorEastAsia" w:hAnsiTheme="minorEastAsia" w:eastAsiaTheme="minorEastAsia" w:cstheme="minorEastAsia"/>
          <w:sz w:val="24"/>
          <w:szCs w:val="24"/>
          <w:lang w:eastAsia="zh-Hans"/>
        </w:rPr>
        <w:br w:type="textWrapping"/>
      </w:r>
      <w:r>
        <w:rPr>
          <w:rFonts w:hint="eastAsia" w:asciiTheme="minorEastAsia" w:hAnsiTheme="minorEastAsia" w:eastAsiaTheme="minorEastAsia" w:cstheme="minorEastAsia"/>
          <w:sz w:val="24"/>
          <w:szCs w:val="24"/>
          <w:lang w:eastAsia="zh-Hans"/>
        </w:rPr>
        <w:t>   错误提示：页面发生错误时，要求具有易懂且相关的文字提示</w:t>
      </w:r>
      <w:r>
        <w:rPr>
          <w:rFonts w:hint="eastAsia" w:ascii="微软雅黑" w:hAnsi="微软雅黑" w:eastAsia="微软雅黑" w:cs="微软雅黑"/>
          <w:lang w:eastAsia="zh-Hans"/>
        </w:rPr>
        <w:t>。</w:t>
      </w:r>
    </w:p>
    <w:p>
      <w:pPr>
        <w:pStyle w:val="5"/>
        <w:bidi w:val="0"/>
        <w:rPr>
          <w:rFonts w:hint="eastAsia"/>
        </w:rPr>
      </w:pPr>
      <w:bookmarkStart w:id="25" w:name="_Toc878835203"/>
      <w:r>
        <w:rPr>
          <w:rFonts w:hint="eastAsia"/>
          <w:lang w:val="en-US" w:eastAsia="zh-Hans"/>
        </w:rPr>
        <w:t>接口需求</w:t>
      </w:r>
      <w:bookmarkEnd w:id="25"/>
      <w:r>
        <w:rPr>
          <w:rFonts w:hint="eastAsia" w:asciiTheme="minorEastAsia" w:hAnsiTheme="minorEastAsia" w:eastAsiaTheme="minorEastAsia" w:cstheme="minorEastAsia"/>
          <w:sz w:val="24"/>
          <w:szCs w:val="24"/>
          <w:lang w:eastAsia="zh-Hans"/>
        </w:rPr>
        <w:t>▲</w:t>
      </w:r>
    </w:p>
    <w:p>
      <w:pPr>
        <w:spacing w:after="180" w:afterLines="50" w:line="360" w:lineRule="auto"/>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系统需要免费预留各类接口，保障与各类相关系统及智能化设备的互联互通。具有成熟的集成开发接口技术，能将在不同时间、不同厂商、不同硬件环境、不同软件环境下建成的现有的各子系统和待建的应用子系统以及相关外单位应用专业软件，按照统一的系统接口规范进行对接。系统各个功能应用要求能以WebService／rest方式对外提供，同时能提供其它形式的调用。</w:t>
      </w:r>
      <w:r>
        <w:rPr>
          <w:rFonts w:hint="eastAsia" w:asciiTheme="minorEastAsia" w:hAnsiTheme="minorEastAsia" w:eastAsiaTheme="minorEastAsia" w:cstheme="minorEastAsia"/>
          <w:sz w:val="24"/>
          <w:szCs w:val="24"/>
          <w:lang w:eastAsia="zh-Hans"/>
        </w:rPr>
        <w:br w:type="textWrapping"/>
      </w:r>
      <w:r>
        <w:rPr>
          <w:rFonts w:hint="eastAsia" w:asciiTheme="minorEastAsia" w:hAnsiTheme="minorEastAsia" w:eastAsiaTheme="minorEastAsia" w:cstheme="minorEastAsia"/>
          <w:sz w:val="24"/>
          <w:szCs w:val="24"/>
          <w:lang w:eastAsia="zh-Hans"/>
        </w:rPr>
        <w:t>   客户化开发平台：</w:t>
      </w:r>
      <w:r>
        <w:rPr>
          <w:rFonts w:hint="eastAsia" w:asciiTheme="minorEastAsia" w:hAnsiTheme="minorEastAsia" w:eastAsiaTheme="minorEastAsia" w:cstheme="minorEastAsia"/>
          <w:sz w:val="24"/>
          <w:szCs w:val="24"/>
          <w:lang w:val="en-US" w:eastAsia="zh-Hans"/>
        </w:rPr>
        <w:t>投标人所投产品</w:t>
      </w:r>
      <w:r>
        <w:rPr>
          <w:rFonts w:hint="eastAsia" w:asciiTheme="minorEastAsia" w:hAnsiTheme="minorEastAsia" w:eastAsiaTheme="minorEastAsia" w:cstheme="minorEastAsia"/>
          <w:sz w:val="24"/>
          <w:szCs w:val="24"/>
          <w:lang w:eastAsia="zh-Hans"/>
        </w:rPr>
        <w:t>具有项目管理信息、权限管理、代码完整构建管理、代码增量构建管理和更新包管理等功能，需提供第三方出具的客户化开发平台软件的相关测试报告。</w:t>
      </w:r>
    </w:p>
    <w:p>
      <w:pPr>
        <w:spacing w:after="180" w:afterLines="50" w:line="360" w:lineRule="auto"/>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数据交换：</w:t>
      </w:r>
      <w:r>
        <w:rPr>
          <w:rFonts w:hint="eastAsia" w:asciiTheme="minorEastAsia" w:hAnsiTheme="minorEastAsia" w:eastAsiaTheme="minorEastAsia" w:cstheme="minorEastAsia"/>
          <w:sz w:val="24"/>
          <w:szCs w:val="24"/>
          <w:lang w:val="en-US" w:eastAsia="zh-Hans"/>
        </w:rPr>
        <w:t>投标人所投产品</w:t>
      </w:r>
      <w:r>
        <w:rPr>
          <w:rFonts w:hint="eastAsia" w:asciiTheme="minorEastAsia" w:hAnsiTheme="minorEastAsia" w:eastAsiaTheme="minorEastAsia" w:cstheme="minorEastAsia"/>
          <w:sz w:val="24"/>
          <w:szCs w:val="24"/>
          <w:lang w:eastAsia="zh-Hans"/>
        </w:rPr>
        <w:t>提供数据交换方式及数据交换装置，需提供国家认可的具有检测资质的检测机构出具的关于数据交换方式及数据交换装置的检测报告或相关证书。</w:t>
      </w:r>
    </w:p>
    <w:p>
      <w:pPr>
        <w:pStyle w:val="5"/>
        <w:bidi w:val="0"/>
        <w:rPr>
          <w:rFonts w:hint="eastAsia"/>
        </w:rPr>
      </w:pPr>
      <w:bookmarkStart w:id="26" w:name="_Toc190732755"/>
      <w:r>
        <w:rPr>
          <w:rFonts w:hint="eastAsia"/>
          <w:lang w:val="en-US" w:eastAsia="zh-Hans"/>
        </w:rPr>
        <w:t>性能需求</w:t>
      </w:r>
      <w:bookmarkEnd w:id="26"/>
    </w:p>
    <w:p>
      <w:pPr>
        <w:spacing w:after="180" w:afterLines="50" w:line="360" w:lineRule="auto"/>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响应指标：运行速度取决于硬件配置和应用数据规模。在推荐配置环境下（参数附后），登录响应时间在2秒内；打开菜单响应时间在2秒内；打开信息条目响应时间3秒内；刷新条目分页列表响应时间3秒内；系统各级用户的各种统计、查询、分析应用操作，平均响应时间5秒以内，最长响应时间不超过15秒；公文文档编辑控件响应时间为10秒以内；</w:t>
      </w:r>
      <w:r>
        <w:rPr>
          <w:rFonts w:hint="eastAsia" w:asciiTheme="minorEastAsia" w:hAnsiTheme="minorEastAsia" w:eastAsiaTheme="minorEastAsia" w:cstheme="minorEastAsia"/>
          <w:sz w:val="24"/>
          <w:szCs w:val="24"/>
          <w:lang w:eastAsia="zh-Hans"/>
        </w:rPr>
        <w:br w:type="textWrapping"/>
      </w:r>
      <w:r>
        <w:rPr>
          <w:rFonts w:hint="eastAsia" w:asciiTheme="minorEastAsia" w:hAnsiTheme="minorEastAsia" w:eastAsiaTheme="minorEastAsia" w:cstheme="minorEastAsia"/>
          <w:sz w:val="24"/>
          <w:szCs w:val="24"/>
          <w:lang w:eastAsia="zh-Hans"/>
        </w:rPr>
        <w:t>   以上响应指标的参考配置如下：</w:t>
      </w:r>
      <w:r>
        <w:rPr>
          <w:rFonts w:hint="eastAsia" w:asciiTheme="minorEastAsia" w:hAnsiTheme="minorEastAsia" w:eastAsiaTheme="minorEastAsia" w:cstheme="minorEastAsia"/>
          <w:sz w:val="24"/>
          <w:szCs w:val="24"/>
          <w:lang w:eastAsia="zh-Hans"/>
        </w:rPr>
        <w:br w:type="textWrapping"/>
      </w:r>
      <w:r>
        <w:rPr>
          <w:rFonts w:hint="eastAsia" w:asciiTheme="minorEastAsia" w:hAnsiTheme="minorEastAsia" w:eastAsiaTheme="minorEastAsia" w:cstheme="minorEastAsia"/>
          <w:sz w:val="24"/>
          <w:szCs w:val="24"/>
          <w:lang w:eastAsia="zh-Hans"/>
        </w:rPr>
        <w:t>   系统服务器配置，此配置为100-200并发客户硬件配置（并发数为同时在线任务，系统内注册人数不受并发限制）；</w:t>
      </w:r>
    </w:p>
    <w:p>
      <w:pPr>
        <w:pStyle w:val="2"/>
        <w:rPr>
          <w:rFonts w:hint="eastAsia"/>
          <w:lang w:eastAsia="zh-Hans"/>
        </w:rPr>
      </w:pPr>
    </w:p>
    <w:tbl>
      <w:tblPr>
        <w:tblStyle w:val="9"/>
        <w:tblW w:w="8438"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643"/>
        <w:gridCol w:w="750"/>
        <w:gridCol w:w="1412"/>
        <w:gridCol w:w="4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45" w:hRule="atLeast"/>
          <w:tblCellSpacing w:w="15" w:type="dxa"/>
        </w:trPr>
        <w:tc>
          <w:tcPr>
            <w:tcW w:w="1598" w:type="dxa"/>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类别</w:t>
            </w:r>
          </w:p>
        </w:tc>
        <w:tc>
          <w:tcPr>
            <w:tcW w:w="2132" w:type="dxa"/>
            <w:gridSpan w:val="2"/>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配置</w:t>
            </w:r>
          </w:p>
        </w:tc>
        <w:tc>
          <w:tcPr>
            <w:tcW w:w="4588" w:type="dxa"/>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具体参数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0" w:hRule="atLeast"/>
          <w:tblCellSpacing w:w="15" w:type="dxa"/>
        </w:trPr>
        <w:tc>
          <w:tcPr>
            <w:tcW w:w="1598" w:type="dxa"/>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应用服务器</w:t>
            </w:r>
          </w:p>
        </w:tc>
        <w:tc>
          <w:tcPr>
            <w:tcW w:w="720" w:type="dxa"/>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硬件</w:t>
            </w:r>
          </w:p>
        </w:tc>
        <w:tc>
          <w:tcPr>
            <w:tcW w:w="1382" w:type="dxa"/>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标准服务器配置</w:t>
            </w:r>
          </w:p>
        </w:tc>
        <w:tc>
          <w:tcPr>
            <w:tcW w:w="4588" w:type="dxa"/>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CPU：2.3GHz以上，64位，二级缓存8M以上，4核以上;硬盘：SCSI/SAS硬盘，320G以上，建议做镜像;内存：8G以上;网卡：千兆网卡*2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3" w:hRule="atLeast"/>
          <w:tblCellSpacing w:w="15" w:type="dxa"/>
        </w:trPr>
        <w:tc>
          <w:tcPr>
            <w:tcW w:w="1598" w:type="dxa"/>
            <w:vMerge w:val="restart"/>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数据库服务器</w:t>
            </w:r>
          </w:p>
        </w:tc>
        <w:tc>
          <w:tcPr>
            <w:tcW w:w="720" w:type="dxa"/>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RAM</w:t>
            </w:r>
          </w:p>
        </w:tc>
        <w:tc>
          <w:tcPr>
            <w:tcW w:w="6000" w:type="dxa"/>
            <w:gridSpan w:val="2"/>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ind w:left="0" w:firstLine="5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MYSQL:8G/SQLServer:16G/Oracle:16G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blCellSpacing w:w="15" w:type="dxa"/>
        </w:trPr>
        <w:tc>
          <w:tcPr>
            <w:tcW w:w="1598" w:type="dxa"/>
            <w:vMerge w:val="continue"/>
            <w:tcBorders>
              <w:tl2br w:val="nil"/>
              <w:tr2bl w:val="nil"/>
            </w:tcBorders>
            <w:shd w:val="clear" w:color="auto" w:fill="auto"/>
            <w:tcMar>
              <w:top w:w="0" w:type="dxa"/>
              <w:left w:w="140" w:type="dxa"/>
              <w:bottom w:w="0" w:type="dxa"/>
              <w:right w:w="140" w:type="dxa"/>
            </w:tcMar>
            <w:vAlign w:val="center"/>
          </w:tcPr>
          <w:p>
            <w:pPr>
              <w:rPr>
                <w:rFonts w:hint="eastAsia" w:asciiTheme="minorEastAsia" w:hAnsiTheme="minorEastAsia" w:eastAsiaTheme="minorEastAsia" w:cstheme="minorEastAsia"/>
                <w:sz w:val="21"/>
                <w:szCs w:val="21"/>
              </w:rPr>
            </w:pPr>
          </w:p>
        </w:tc>
        <w:tc>
          <w:tcPr>
            <w:tcW w:w="720" w:type="dxa"/>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软件</w:t>
            </w:r>
          </w:p>
        </w:tc>
        <w:tc>
          <w:tcPr>
            <w:tcW w:w="1382" w:type="dxa"/>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操作系统</w:t>
            </w:r>
          </w:p>
        </w:tc>
        <w:tc>
          <w:tcPr>
            <w:tcW w:w="4588" w:type="dxa"/>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可参考数据库的硬件配置方案，无特殊要求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1598" w:type="dxa"/>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备份服务器</w:t>
            </w:r>
          </w:p>
        </w:tc>
        <w:tc>
          <w:tcPr>
            <w:tcW w:w="720" w:type="dxa"/>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硬件</w:t>
            </w:r>
          </w:p>
        </w:tc>
        <w:tc>
          <w:tcPr>
            <w:tcW w:w="1382" w:type="dxa"/>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PC服务器</w:t>
            </w:r>
          </w:p>
        </w:tc>
        <w:tc>
          <w:tcPr>
            <w:tcW w:w="4588" w:type="dxa"/>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CPU：2.0GHz以上，二级缓存2M以上，2核CPU，硬盘：SATA硬盘，8M缓存，7200转，320G以上；内存：DDR2,800,4G以上</w:t>
            </w:r>
          </w:p>
        </w:tc>
      </w:tr>
    </w:tbl>
    <w:p>
      <w:pPr>
        <w:pStyle w:val="8"/>
        <w:keepNext w:val="0"/>
        <w:keepLines w:val="0"/>
        <w:widowControl/>
        <w:suppressLineNumbers w:val="0"/>
        <w:ind w:left="0" w:firstLine="0"/>
        <w:rPr>
          <w:rFonts w:hint="eastAsia" w:ascii="宋体" w:hAnsi="宋体" w:eastAsia="宋体" w:cs="宋体"/>
          <w:sz w:val="24"/>
          <w:szCs w:val="24"/>
        </w:rPr>
      </w:pPr>
      <w:r>
        <w:rPr>
          <w:rStyle w:val="11"/>
          <w:rFonts w:hint="eastAsia" w:ascii="宋体" w:hAnsi="宋体" w:eastAsia="宋体" w:cs="宋体"/>
          <w:spacing w:val="0"/>
          <w:sz w:val="24"/>
          <w:szCs w:val="24"/>
        </w:rPr>
        <w:t xml:space="preserve"> 客户端PC配置</w:t>
      </w:r>
    </w:p>
    <w:tbl>
      <w:tblPr>
        <w:tblStyle w:val="9"/>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603"/>
        <w:gridCol w:w="2259"/>
        <w:gridCol w:w="1170"/>
        <w:gridCol w:w="1170"/>
        <w:gridCol w:w="2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60" w:hRule="atLeast"/>
          <w:tblCellSpacing w:w="15" w:type="dxa"/>
        </w:trPr>
        <w:tc>
          <w:tcPr>
            <w:tcW w:w="1860" w:type="dxa"/>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wordWrap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配件</w:t>
            </w:r>
          </w:p>
        </w:tc>
        <w:tc>
          <w:tcPr>
            <w:tcW w:w="2500" w:type="dxa"/>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最低配置</w:t>
            </w:r>
          </w:p>
        </w:tc>
        <w:tc>
          <w:tcPr>
            <w:tcW w:w="5040" w:type="dxa"/>
            <w:gridSpan w:val="3"/>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推荐配置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0" w:hRule="atLeast"/>
          <w:tblCellSpacing w:w="15" w:type="dxa"/>
        </w:trPr>
        <w:tc>
          <w:tcPr>
            <w:tcW w:w="1980" w:type="dxa"/>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spacing w:line="240" w:lineRule="auto"/>
              <w:ind w:left="0" w:firstLine="56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CPU</w:t>
            </w:r>
          </w:p>
        </w:tc>
        <w:tc>
          <w:tcPr>
            <w:tcW w:w="2620" w:type="dxa"/>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英特尔 奔腾 4</w:t>
            </w:r>
          </w:p>
          <w:p>
            <w:pPr>
              <w:pStyle w:val="8"/>
              <w:keepNext w:val="0"/>
              <w:keepLines w:val="0"/>
              <w:widowControl/>
              <w:suppressLineNumbers w:val="0"/>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3.0GHz以上</w:t>
            </w:r>
          </w:p>
        </w:tc>
        <w:tc>
          <w:tcPr>
            <w:tcW w:w="5040" w:type="dxa"/>
            <w:gridSpan w:val="3"/>
            <w:tcBorders>
              <w:tl2br w:val="nil"/>
              <w:tr2bl w:val="nil"/>
            </w:tcBorders>
            <w:shd w:val="clear" w:color="auto" w:fill="auto"/>
            <w:tcMar>
              <w:top w:w="0" w:type="dxa"/>
              <w:left w:w="140" w:type="dxa"/>
              <w:bottom w:w="0" w:type="dxa"/>
              <w:right w:w="140" w:type="dxa"/>
            </w:tcMar>
            <w:vAlign w:val="top"/>
          </w:tcPr>
          <w:p>
            <w:pPr>
              <w:pStyle w:val="8"/>
              <w:keepNext w:val="0"/>
              <w:keepLines w:val="0"/>
              <w:widowControl/>
              <w:suppressLineNumbers w:val="0"/>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英特尔 奔腾 双核3.0GHz；</w:t>
            </w:r>
          </w:p>
          <w:p>
            <w:pPr>
              <w:pStyle w:val="8"/>
              <w:keepNext w:val="0"/>
              <w:keepLines w:val="0"/>
              <w:widowControl/>
              <w:suppressLineNumbers w:val="0"/>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Intel core双核3.0GHz；</w:t>
            </w:r>
          </w:p>
          <w:p>
            <w:pPr>
              <w:pStyle w:val="8"/>
              <w:keepNext w:val="0"/>
              <w:keepLines w:val="0"/>
              <w:widowControl/>
              <w:suppressLineNumbers w:val="0"/>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AMD 64位 3.0GHz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980" w:type="dxa"/>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wordWrap w:val="0"/>
              <w:spacing w:line="240" w:lineRule="auto"/>
              <w:ind w:left="0" w:firstLine="56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内存</w:t>
            </w:r>
          </w:p>
        </w:tc>
        <w:tc>
          <w:tcPr>
            <w:tcW w:w="2500" w:type="dxa"/>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&gt;=1024M  Bytes</w:t>
            </w:r>
          </w:p>
        </w:tc>
        <w:tc>
          <w:tcPr>
            <w:tcW w:w="5040" w:type="dxa"/>
            <w:gridSpan w:val="3"/>
            <w:tcBorders>
              <w:tl2br w:val="nil"/>
              <w:tr2bl w:val="nil"/>
            </w:tcBorders>
            <w:shd w:val="clear" w:color="auto" w:fill="auto"/>
            <w:tcMar>
              <w:top w:w="0" w:type="dxa"/>
              <w:left w:w="140" w:type="dxa"/>
              <w:bottom w:w="0" w:type="dxa"/>
              <w:right w:w="140" w:type="dxa"/>
            </w:tcMar>
            <w:vAlign w:val="top"/>
          </w:tcPr>
          <w:p>
            <w:pPr>
              <w:pStyle w:val="8"/>
              <w:keepNext w:val="0"/>
              <w:keepLines w:val="0"/>
              <w:widowControl/>
              <w:suppressLineNumbers w:val="0"/>
              <w:wordWrap w:val="0"/>
              <w:spacing w:line="240" w:lineRule="auto"/>
              <w:ind w:left="0" w:firstLine="5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&gt;=4G 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980" w:type="dxa"/>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显示器分辨率</w:t>
            </w:r>
          </w:p>
        </w:tc>
        <w:tc>
          <w:tcPr>
            <w:tcW w:w="2500" w:type="dxa"/>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spacing w:line="240" w:lineRule="auto"/>
              <w:ind w:left="0" w:firstLine="56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1280以上</w:t>
            </w:r>
          </w:p>
        </w:tc>
        <w:tc>
          <w:tcPr>
            <w:tcW w:w="760" w:type="dxa"/>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1280*768</w:t>
            </w:r>
          </w:p>
        </w:tc>
        <w:tc>
          <w:tcPr>
            <w:tcW w:w="360" w:type="dxa"/>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1280*800</w:t>
            </w:r>
          </w:p>
        </w:tc>
        <w:tc>
          <w:tcPr>
            <w:tcW w:w="1880" w:type="dxa"/>
            <w:tcBorders>
              <w:tl2br w:val="nil"/>
              <w:tr2bl w:val="nil"/>
            </w:tcBorders>
            <w:shd w:val="clear" w:color="auto" w:fill="auto"/>
            <w:tcMar>
              <w:top w:w="0" w:type="dxa"/>
              <w:left w:w="140" w:type="dxa"/>
              <w:bottom w:w="0" w:type="dxa"/>
              <w:right w:w="140" w:type="dxa"/>
            </w:tcMar>
            <w:vAlign w:val="center"/>
          </w:tcPr>
          <w:p>
            <w:pPr>
              <w:pStyle w:val="8"/>
              <w:keepNext w:val="0"/>
              <w:keepLines w:val="0"/>
              <w:widowControl/>
              <w:suppressLineNumbers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1366*768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980" w:type="dxa"/>
            <w:tcBorders>
              <w:tl2br w:val="nil"/>
              <w:tr2bl w:val="nil"/>
            </w:tcBorders>
            <w:shd w:val="clear" w:color="auto" w:fill="auto"/>
            <w:tcMar>
              <w:top w:w="0" w:type="dxa"/>
              <w:left w:w="140" w:type="dxa"/>
              <w:bottom w:w="0" w:type="dxa"/>
              <w:right w:w="140" w:type="dxa"/>
            </w:tcMar>
            <w:vAlign w:val="top"/>
          </w:tcPr>
          <w:p>
            <w:pPr>
              <w:pStyle w:val="8"/>
              <w:keepNext w:val="0"/>
              <w:keepLines w:val="0"/>
              <w:widowControl/>
              <w:suppressLineNumbers w:val="0"/>
              <w:wordWrap w:val="0"/>
              <w:spacing w:line="240" w:lineRule="auto"/>
              <w:ind w:left="0" w:firstLine="5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网卡</w:t>
            </w:r>
          </w:p>
        </w:tc>
        <w:tc>
          <w:tcPr>
            <w:tcW w:w="2500" w:type="dxa"/>
            <w:tcBorders>
              <w:tl2br w:val="nil"/>
              <w:tr2bl w:val="nil"/>
            </w:tcBorders>
            <w:shd w:val="clear" w:color="auto" w:fill="auto"/>
            <w:tcMar>
              <w:top w:w="0" w:type="dxa"/>
              <w:left w:w="140" w:type="dxa"/>
              <w:bottom w:w="0" w:type="dxa"/>
              <w:right w:w="140" w:type="dxa"/>
            </w:tcMar>
            <w:vAlign w:val="top"/>
          </w:tcPr>
          <w:p>
            <w:pPr>
              <w:pStyle w:val="8"/>
              <w:keepNext w:val="0"/>
              <w:keepLines w:val="0"/>
              <w:widowControl/>
              <w:suppressLineNumbers w:val="0"/>
              <w:spacing w:line="240" w:lineRule="auto"/>
              <w:ind w:left="0" w:firstLine="5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100M</w:t>
            </w:r>
          </w:p>
        </w:tc>
        <w:tc>
          <w:tcPr>
            <w:tcW w:w="4920" w:type="dxa"/>
            <w:gridSpan w:val="3"/>
            <w:tcBorders>
              <w:tl2br w:val="nil"/>
              <w:tr2bl w:val="nil"/>
            </w:tcBorders>
            <w:shd w:val="clear" w:color="auto" w:fill="auto"/>
            <w:tcMar>
              <w:top w:w="0" w:type="dxa"/>
              <w:left w:w="140" w:type="dxa"/>
              <w:bottom w:w="0" w:type="dxa"/>
              <w:right w:w="140" w:type="dxa"/>
            </w:tcMar>
            <w:vAlign w:val="top"/>
          </w:tcPr>
          <w:p>
            <w:pPr>
              <w:pStyle w:val="8"/>
              <w:keepNext w:val="0"/>
              <w:keepLines w:val="0"/>
              <w:widowControl/>
              <w:suppressLineNumbers w:val="0"/>
              <w:spacing w:line="240" w:lineRule="auto"/>
              <w:ind w:left="0" w:firstLine="5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0"/>
                <w:sz w:val="21"/>
                <w:szCs w:val="21"/>
              </w:rPr>
              <w:t>100M</w:t>
            </w:r>
          </w:p>
        </w:tc>
      </w:tr>
    </w:tbl>
    <w:p>
      <w:pPr>
        <w:pStyle w:val="5"/>
        <w:bidi w:val="0"/>
        <w:rPr>
          <w:rFonts w:hint="eastAsia"/>
          <w:lang w:val="zh-CN" w:eastAsia="zh-CN"/>
        </w:rPr>
      </w:pPr>
      <w:bookmarkStart w:id="27" w:name="_Toc1599811961"/>
      <w:r>
        <w:rPr>
          <w:rFonts w:hint="eastAsia"/>
          <w:lang w:val="zh-CN" w:eastAsia="zh-CN"/>
        </w:rPr>
        <w:t>公有云资源技术要求</w:t>
      </w:r>
      <w:bookmarkEnd w:id="27"/>
    </w:p>
    <w:p>
      <w:pPr>
        <w:widowControl w:val="0"/>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本项目部署于云服务器，采用公有云国有云服务商提供的云资源服务，云服务商需要提供7×24小时相关技术服务，云服务器操作系统应采用开源或国产主流Linux操作系统。</w:t>
      </w:r>
    </w:p>
    <w:tbl>
      <w:tblPr>
        <w:tblStyle w:val="9"/>
        <w:tblW w:w="83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773"/>
        <w:gridCol w:w="4458"/>
        <w:gridCol w:w="1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trPr>
        <w:tc>
          <w:tcPr>
            <w:tcW w:w="2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华文仿宋" w:hAnsi="华文仿宋" w:eastAsia="华文仿宋" w:cs="华文仿宋"/>
                <w:i w:val="0"/>
                <w:color w:val="000000"/>
                <w:sz w:val="22"/>
                <w:szCs w:val="22"/>
                <w:u w:val="none"/>
              </w:rPr>
            </w:pPr>
            <w:r>
              <w:rPr>
                <w:rFonts w:hint="default" w:ascii="华文仿宋" w:hAnsi="华文仿宋" w:eastAsia="华文仿宋" w:cs="华文仿宋"/>
                <w:i w:val="0"/>
                <w:color w:val="000000"/>
                <w:kern w:val="0"/>
                <w:sz w:val="22"/>
                <w:szCs w:val="22"/>
                <w:u w:val="none"/>
                <w:lang w:val="en-US" w:eastAsia="zh-CN" w:bidi="ar"/>
              </w:rPr>
              <w:t>产品服务</w:t>
            </w:r>
          </w:p>
        </w:tc>
        <w:tc>
          <w:tcPr>
            <w:tcW w:w="4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2"/>
                <w:szCs w:val="22"/>
                <w:u w:val="none"/>
              </w:rPr>
            </w:pPr>
            <w:r>
              <w:rPr>
                <w:rFonts w:hint="default" w:ascii="华文仿宋" w:hAnsi="华文仿宋" w:eastAsia="华文仿宋" w:cs="华文仿宋"/>
                <w:i w:val="0"/>
                <w:color w:val="000000"/>
                <w:kern w:val="0"/>
                <w:sz w:val="22"/>
                <w:szCs w:val="22"/>
                <w:u w:val="none"/>
                <w:lang w:val="en-US" w:eastAsia="zh-CN" w:bidi="ar"/>
              </w:rPr>
              <w:t>配置要求</w:t>
            </w: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2"/>
                <w:szCs w:val="22"/>
                <w:u w:val="none"/>
              </w:rPr>
            </w:pPr>
            <w:r>
              <w:rPr>
                <w:rFonts w:hint="default" w:ascii="华文仿宋" w:hAnsi="华文仿宋" w:eastAsia="华文仿宋" w:cs="华文仿宋"/>
                <w:i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trPr>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仿宋" w:hAnsi="华文仿宋" w:eastAsia="华文仿宋" w:cs="华文仿宋"/>
                <w:i w:val="0"/>
                <w:color w:val="000000"/>
                <w:sz w:val="22"/>
                <w:szCs w:val="22"/>
                <w:u w:val="none"/>
              </w:rPr>
            </w:pPr>
          </w:p>
        </w:tc>
        <w:tc>
          <w:tcPr>
            <w:tcW w:w="4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仿宋" w:hAnsi="华文仿宋" w:eastAsia="华文仿宋" w:cs="华文仿宋"/>
                <w:i w:val="0"/>
                <w:color w:val="000000"/>
                <w:sz w:val="22"/>
                <w:szCs w:val="22"/>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仿宋" w:hAnsi="华文仿宋" w:eastAsia="华文仿宋" w:cs="华文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32" w:hRule="atLeast"/>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云主机（应用服务器）</w:t>
            </w: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通用型 | s1.xlarge.2 | 4CPU | 8内存 | 1.5Gbit/s</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云硬盘1块 | 性能优化型 | 40GB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1块 | 性能优化型 | 160GB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弹性公网IP：10M</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2" w:hRule="atLeast"/>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Mysql 数据库</w:t>
            </w: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通用型  4核 | 8GB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数据库版本 8.0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数据库类型：单机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存储 | 备份空间 500GB | 100GB</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2" w:hRule="atLeast"/>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云硬盘备份</w:t>
            </w: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云硬盘全年备份</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53" w:hRule="atLeast"/>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WBE应用防护</w:t>
            </w: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eb应用防护基于对Web流量的解码和分析，支持解析多种常见HTTP协议数据提交格式，可应对Web应用中的各类攻击，防御OWASP常见威胁，如SQL注入、XSS注入、跨站请求伪造攻击、Cookie篡改以及应用层Web攻击等，能有效解决网页挂马、敏感信息泄露等安全问题，充分保障Web应用安全。</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0" w:hRule="atLeast"/>
        </w:trPr>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云安全中心</w:t>
            </w:r>
          </w:p>
        </w:tc>
        <w:tc>
          <w:tcPr>
            <w:tcW w:w="4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安全中心提供统一的资产安全状况展示，实时安全威胁检测与响应功能。通过在服务器安装Agent方式，为您提供漏洞检测、异常登录、暴力破解、基线检查、云平台配置检测等多种安全检测能力，全方位保护云上资产安全并满足监管合规要求。</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r>
    </w:tbl>
    <w:p>
      <w:pPr>
        <w:bidi w:val="0"/>
        <w:rPr>
          <w:rFonts w:hint="eastAsia"/>
          <w:lang w:val="en-US" w:eastAsia="zh-Hans"/>
        </w:rPr>
      </w:pPr>
    </w:p>
    <w:p>
      <w:pPr>
        <w:pStyle w:val="4"/>
        <w:bidi w:val="0"/>
        <w:jc w:val="left"/>
        <w:rPr>
          <w:rFonts w:hint="eastAsia"/>
          <w:lang w:val="en-US" w:eastAsia="zh-Hans"/>
        </w:rPr>
      </w:pPr>
      <w:bookmarkStart w:id="28" w:name="_Toc1544368087"/>
      <w:r>
        <w:rPr>
          <w:rFonts w:hint="eastAsia"/>
          <w:lang w:val="en-US" w:eastAsia="zh-Hans"/>
        </w:rPr>
        <w:t>项目实施要求</w:t>
      </w:r>
      <w:bookmarkEnd w:id="28"/>
    </w:p>
    <w:p>
      <w:pPr>
        <w:pStyle w:val="5"/>
        <w:bidi w:val="0"/>
        <w:rPr>
          <w:rFonts w:hint="eastAsia"/>
          <w:highlight w:val="none"/>
          <w:lang w:val="zh-CN" w:eastAsia="zh-CN"/>
        </w:rPr>
      </w:pPr>
      <w:bookmarkStart w:id="29" w:name="_Toc1707080567"/>
      <w:r>
        <w:rPr>
          <w:rFonts w:hint="eastAsia"/>
          <w:highlight w:val="none"/>
          <w:lang w:val="zh-CN" w:eastAsia="zh-CN"/>
        </w:rPr>
        <w:t>工期要求</w:t>
      </w:r>
      <w:bookmarkEnd w:id="29"/>
    </w:p>
    <w:p>
      <w:pPr>
        <w:widowControl/>
        <w:spacing w:line="360" w:lineRule="auto"/>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合同签订后60</w:t>
      </w:r>
      <w:r>
        <w:rPr>
          <w:rFonts w:hint="eastAsia" w:asciiTheme="minorEastAsia" w:hAnsiTheme="minorEastAsia" w:eastAsiaTheme="minorEastAsia" w:cstheme="minorEastAsia"/>
          <w:b w:val="0"/>
          <w:bCs w:val="0"/>
          <w:color w:val="auto"/>
          <w:sz w:val="24"/>
          <w:szCs w:val="24"/>
          <w:highlight w:val="none"/>
          <w:lang w:val="en-US" w:eastAsia="zh-Hans"/>
        </w:rPr>
        <w:t>个</w:t>
      </w:r>
      <w:r>
        <w:rPr>
          <w:rFonts w:hint="eastAsia" w:asciiTheme="minorEastAsia" w:hAnsiTheme="minorEastAsia" w:eastAsiaTheme="minorEastAsia" w:cstheme="minorEastAsia"/>
          <w:b w:val="0"/>
          <w:bCs w:val="0"/>
          <w:color w:val="auto"/>
          <w:sz w:val="24"/>
          <w:szCs w:val="24"/>
          <w:highlight w:val="none"/>
        </w:rPr>
        <w:t>工作日内完成</w:t>
      </w:r>
      <w:r>
        <w:rPr>
          <w:rFonts w:hint="eastAsia" w:asciiTheme="minorEastAsia" w:hAnsiTheme="minorEastAsia" w:eastAsiaTheme="minorEastAsia" w:cstheme="minorEastAsia"/>
          <w:b w:val="0"/>
          <w:bCs w:val="0"/>
          <w:color w:val="auto"/>
          <w:sz w:val="24"/>
          <w:szCs w:val="24"/>
          <w:highlight w:val="none"/>
          <w:lang w:val="en-US" w:eastAsia="zh-Hans"/>
        </w:rPr>
        <w:t>招标内容及要求的</w:t>
      </w:r>
      <w:r>
        <w:rPr>
          <w:rFonts w:hint="eastAsia" w:asciiTheme="minorEastAsia" w:hAnsiTheme="minorEastAsia" w:eastAsiaTheme="minorEastAsia" w:cstheme="minorEastAsia"/>
          <w:b w:val="0"/>
          <w:bCs w:val="0"/>
          <w:color w:val="auto"/>
          <w:sz w:val="24"/>
          <w:szCs w:val="24"/>
          <w:highlight w:val="none"/>
        </w:rPr>
        <w:t>功能</w:t>
      </w:r>
      <w:r>
        <w:rPr>
          <w:rFonts w:hint="eastAsia" w:asciiTheme="minorEastAsia" w:hAnsiTheme="minorEastAsia" w:eastAsiaTheme="minorEastAsia" w:cstheme="minorEastAsia"/>
          <w:b w:val="0"/>
          <w:bCs w:val="0"/>
          <w:color w:val="auto"/>
          <w:sz w:val="24"/>
          <w:szCs w:val="24"/>
          <w:highlight w:val="none"/>
          <w:lang w:val="en-US" w:eastAsia="zh-Hans"/>
        </w:rPr>
        <w:t>建设</w:t>
      </w:r>
      <w:r>
        <w:rPr>
          <w:rFonts w:hint="eastAsia" w:asciiTheme="minorEastAsia" w:hAnsiTheme="minorEastAsia" w:eastAsiaTheme="minorEastAsia" w:cstheme="minorEastAsia"/>
          <w:b w:val="0"/>
          <w:bCs w:val="0"/>
          <w:color w:val="auto"/>
          <w:sz w:val="24"/>
          <w:szCs w:val="24"/>
          <w:highlight w:val="none"/>
        </w:rPr>
        <w:t>。</w:t>
      </w:r>
    </w:p>
    <w:p>
      <w:pPr>
        <w:pStyle w:val="5"/>
        <w:bidi w:val="0"/>
        <w:rPr>
          <w:rFonts w:hint="eastAsia"/>
          <w:lang w:val="zh-CN" w:eastAsia="zh-CN"/>
        </w:rPr>
      </w:pPr>
      <w:bookmarkStart w:id="30" w:name="_Toc2073099336"/>
      <w:r>
        <w:rPr>
          <w:rFonts w:hint="eastAsia"/>
          <w:lang w:val="zh-CN" w:eastAsia="zh-CN"/>
        </w:rPr>
        <w:t>实施要求</w:t>
      </w:r>
      <w:bookmarkEnd w:id="30"/>
    </w:p>
    <w:p>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保证项目按时按质顺利进行，中标人应提供详细的项目实施时间表（以天为单位）和各阶段各方人员安排及相关的工作内容；提出完整、合理、可行的项目管理计划，其中包括关于项目进度控制、质量控制、风险控制、合同管理、文档管理以及与本项目相关的协调工作等的详细描述。</w:t>
      </w:r>
    </w:p>
    <w:p>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项目实施中必须根据甲方需求进行开发设计、实施，以满足甲方部门间信息共享的需求。</w:t>
      </w:r>
    </w:p>
    <w:p>
      <w:pPr>
        <w:pStyle w:val="5"/>
        <w:bidi w:val="0"/>
        <w:rPr>
          <w:rFonts w:hint="eastAsia"/>
          <w:lang w:val="zh-CN" w:eastAsia="zh-CN"/>
        </w:rPr>
      </w:pPr>
      <w:bookmarkStart w:id="31" w:name="_Toc1805851224"/>
      <w:r>
        <w:rPr>
          <w:rFonts w:hint="eastAsia"/>
          <w:lang w:val="zh-CN" w:eastAsia="zh-CN"/>
        </w:rPr>
        <w:t>培训要求</w:t>
      </w:r>
      <w:bookmarkEnd w:id="31"/>
    </w:p>
    <w:p>
      <w:pPr>
        <w:widowControl/>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本项目中标人负责对甲方人员提供技术培训，包括操作人员培训和管理维护人员培训。</w:t>
      </w:r>
      <w:r>
        <w:rPr>
          <w:rFonts w:hint="default"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lang w:val="en-US" w:eastAsia="zh-CN"/>
        </w:rPr>
        <w:t>应在投标文件中提出培训计划，计划包括培训类别、培训项目、人数、时间、地点及培训方式等详细内容，达到使相关人员熟练使用系统的目的。培训前，中标人需编制完成完善的培训材料。</w:t>
      </w:r>
    </w:p>
    <w:p>
      <w:pPr>
        <w:pStyle w:val="5"/>
        <w:bidi w:val="0"/>
        <w:rPr>
          <w:rFonts w:hint="eastAsia" w:ascii="宋体" w:hAnsi="宋体" w:eastAsia="宋体" w:cs="宋体"/>
          <w:b/>
          <w:bCs/>
          <w:color w:val="auto"/>
          <w:kern w:val="2"/>
          <w:sz w:val="24"/>
          <w:szCs w:val="24"/>
          <w:highlight w:val="none"/>
          <w:lang w:val="zh-CN" w:eastAsia="zh-CN" w:bidi="zh-CN"/>
        </w:rPr>
      </w:pPr>
      <w:bookmarkStart w:id="32" w:name="_Toc555138717"/>
      <w:r>
        <w:rPr>
          <w:rFonts w:hint="eastAsia" w:ascii="宋体" w:hAnsi="宋体" w:eastAsia="宋体" w:cs="宋体"/>
          <w:b/>
          <w:bCs/>
          <w:color w:val="auto"/>
          <w:kern w:val="2"/>
          <w:sz w:val="24"/>
          <w:szCs w:val="24"/>
          <w:highlight w:val="none"/>
          <w:lang w:val="en-US" w:eastAsia="zh-CN" w:bidi="zh-CN"/>
        </w:rPr>
        <w:t>项目</w:t>
      </w:r>
      <w:r>
        <w:rPr>
          <w:rFonts w:hint="eastAsia" w:ascii="宋体" w:hAnsi="宋体" w:eastAsia="宋体" w:cs="宋体"/>
          <w:b/>
          <w:bCs/>
          <w:color w:val="auto"/>
          <w:kern w:val="2"/>
          <w:sz w:val="24"/>
          <w:szCs w:val="24"/>
          <w:highlight w:val="none"/>
          <w:lang w:val="zh-CN" w:eastAsia="zh-CN" w:bidi="zh-CN"/>
        </w:rPr>
        <w:t>验收</w:t>
      </w:r>
      <w:bookmarkEnd w:id="32"/>
    </w:p>
    <w:p>
      <w:pPr>
        <w:widowControl/>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的验收根据采购人的项目实施进度要求，系统完成开发部署，整体上线后进行为期3个月的项目试运行阶段，试运行期满达到招标要求后进行验收。中标人要提供详尽的项目验收方案，包括验收组织、验收内容、验收标准、验收报告等。</w:t>
      </w:r>
    </w:p>
    <w:p>
      <w:pPr>
        <w:pStyle w:val="5"/>
        <w:bidi w:val="0"/>
      </w:pPr>
      <w:bookmarkStart w:id="33" w:name="_Toc1547454051"/>
      <w:r>
        <w:rPr>
          <w:rFonts w:hint="eastAsia"/>
        </w:rPr>
        <w:t>保密</w:t>
      </w:r>
      <w:r>
        <w:t>要求</w:t>
      </w:r>
    </w:p>
    <w:p>
      <w:pPr>
        <w:widowControl/>
        <w:spacing w:line="360" w:lineRule="auto"/>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中标人对采购人提供的所有业务技术资料、文档，以及项目管理平台上的所有资料、文档，有责任对第三方保密。且未经采购人同意，中标人不得私自发布项目相关信息，以及将本项目成果他用，不得允许其他第三人使用、查看项目管理平台内容。</w:t>
      </w:r>
    </w:p>
    <w:p>
      <w:pPr>
        <w:pStyle w:val="5"/>
        <w:bidi w:val="0"/>
        <w:rPr>
          <w:rFonts w:hint="eastAsia"/>
          <w:lang w:val="zh-CN" w:eastAsia="zh-CN"/>
        </w:rPr>
      </w:pPr>
      <w:r>
        <w:rPr>
          <w:rFonts w:hint="eastAsia"/>
          <w:lang w:val="zh-CN" w:eastAsia="zh-CN"/>
        </w:rPr>
        <w:t>售后服务</w:t>
      </w:r>
      <w:bookmarkEnd w:id="33"/>
    </w:p>
    <w:p>
      <w:pPr>
        <w:widowControl/>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项目通过验收之日起，</w:t>
      </w:r>
      <w:r>
        <w:rPr>
          <w:rFonts w:hint="eastAsia" w:asciiTheme="minorEastAsia" w:hAnsiTheme="minorEastAsia" w:eastAsiaTheme="minorEastAsia" w:cstheme="minorEastAsia"/>
          <w:color w:val="auto"/>
          <w:sz w:val="24"/>
          <w:szCs w:val="24"/>
          <w:highlight w:val="none"/>
          <w:lang w:val="en-US" w:eastAsia="zh-Hans"/>
        </w:rPr>
        <w:t>中标</w:t>
      </w:r>
      <w:r>
        <w:rPr>
          <w:rFonts w:hint="eastAsia" w:asciiTheme="minorEastAsia" w:hAnsiTheme="minorEastAsia" w:eastAsiaTheme="minorEastAsia" w:cstheme="minorEastAsia"/>
          <w:color w:val="auto"/>
          <w:sz w:val="24"/>
          <w:szCs w:val="24"/>
          <w:highlight w:val="none"/>
          <w:lang w:val="en-US" w:eastAsia="zh-CN"/>
        </w:rPr>
        <w:t>人必须提供至少</w:t>
      </w:r>
      <w:r>
        <w:rPr>
          <w:rFonts w:hint="eastAsia" w:asciiTheme="minorEastAsia" w:hAnsiTheme="minorEastAsia" w:eastAsiaTheme="minorEastAsia" w:cstheme="minorEastAsia"/>
          <w:color w:val="auto"/>
          <w:sz w:val="24"/>
          <w:szCs w:val="24"/>
          <w:highlight w:val="none"/>
          <w:lang w:val="en-US" w:eastAsia="zh-Hans"/>
        </w:rPr>
        <w:t>一</w:t>
      </w:r>
      <w:r>
        <w:rPr>
          <w:rFonts w:hint="eastAsia" w:asciiTheme="minorEastAsia" w:hAnsiTheme="minorEastAsia" w:eastAsiaTheme="minorEastAsia" w:cstheme="minorEastAsia"/>
          <w:color w:val="auto"/>
          <w:sz w:val="24"/>
          <w:szCs w:val="24"/>
          <w:highlight w:val="none"/>
          <w:lang w:val="en-US" w:eastAsia="zh-CN"/>
        </w:rPr>
        <w:t>年的原厂免费维护、升级服务，若有升级版本须及时通知用户，是否升级由用户决定；免费服务期结束后，</w:t>
      </w:r>
      <w:r>
        <w:rPr>
          <w:rFonts w:hint="eastAsia" w:asciiTheme="minorEastAsia" w:hAnsiTheme="minorEastAsia" w:eastAsiaTheme="minorEastAsia" w:cstheme="minorEastAsia"/>
          <w:color w:val="auto"/>
          <w:sz w:val="24"/>
          <w:szCs w:val="24"/>
          <w:highlight w:val="none"/>
          <w:lang w:val="en-US" w:eastAsia="zh-Hans"/>
        </w:rPr>
        <w:t>中</w:t>
      </w:r>
      <w:r>
        <w:rPr>
          <w:rFonts w:hint="default" w:asciiTheme="minorEastAsia" w:hAnsiTheme="minorEastAsia" w:eastAsiaTheme="minorEastAsia" w:cstheme="minorEastAsia"/>
          <w:color w:val="auto"/>
          <w:sz w:val="24"/>
          <w:szCs w:val="24"/>
          <w:highlight w:val="none"/>
          <w:lang w:eastAsia="zh-CN"/>
        </w:rPr>
        <w:t>标人</w:t>
      </w:r>
      <w:r>
        <w:rPr>
          <w:rFonts w:hint="eastAsia" w:asciiTheme="minorEastAsia" w:hAnsiTheme="minorEastAsia" w:eastAsiaTheme="minorEastAsia" w:cstheme="minorEastAsia"/>
          <w:color w:val="auto"/>
          <w:sz w:val="24"/>
          <w:szCs w:val="24"/>
          <w:highlight w:val="none"/>
          <w:lang w:val="en-US" w:eastAsia="zh-CN"/>
        </w:rPr>
        <w:t>应提出升级、维护服务方案，并对服务内容、费用、方式、范围（产品、技术、模块）等方面进行承诺，另行签订服务合同。</w:t>
      </w:r>
    </w:p>
    <w:p>
      <w:pPr>
        <w:widowControl/>
        <w:spacing w:line="360" w:lineRule="auto"/>
        <w:ind w:firstLine="480" w:firstLineChars="200"/>
        <w:rPr>
          <w:rFonts w:hint="eastAsia"/>
          <w:lang w:val="en-US" w:eastAsia="zh-Hans"/>
        </w:rPr>
      </w:pPr>
      <w:r>
        <w:rPr>
          <w:rFonts w:hint="default" w:asciiTheme="minorEastAsia" w:hAnsiTheme="minorEastAsia" w:eastAsiaTheme="minorEastAsia" w:cstheme="minorEastAsia"/>
          <w:color w:val="auto"/>
          <w:sz w:val="24"/>
          <w:szCs w:val="24"/>
          <w:highlight w:val="none"/>
          <w:lang w:eastAsia="zh-Hans"/>
        </w:rPr>
        <w:t>中标人</w:t>
      </w:r>
      <w:r>
        <w:rPr>
          <w:rFonts w:hint="eastAsia" w:asciiTheme="minorEastAsia" w:hAnsiTheme="minorEastAsia" w:eastAsiaTheme="minorEastAsia" w:cstheme="minorEastAsia"/>
          <w:color w:val="auto"/>
          <w:sz w:val="24"/>
          <w:szCs w:val="24"/>
          <w:highlight w:val="none"/>
          <w:lang w:val="en-US" w:eastAsia="zh-CN"/>
        </w:rPr>
        <w:t>保证有专门的客户服务机构和人员，能够提供7*24小时电话服务响应；对于必须派人现场解决的问题，保证在收到现场服务通知后，8小时内到达现场。</w:t>
      </w:r>
    </w:p>
    <w:p>
      <w:pPr>
        <w:pStyle w:val="4"/>
        <w:bidi w:val="0"/>
        <w:jc w:val="left"/>
        <w:rPr>
          <w:rFonts w:hint="eastAsia"/>
          <w:lang w:val="en-US" w:eastAsia="zh-Hans"/>
        </w:rPr>
      </w:pPr>
      <w:bookmarkStart w:id="34" w:name="_Toc2033269987"/>
      <w:r>
        <w:rPr>
          <w:rFonts w:hint="eastAsia"/>
          <w:lang w:val="en-US" w:eastAsia="zh-Hans"/>
        </w:rPr>
        <w:t>系统运行环境需求</w:t>
      </w:r>
      <w:bookmarkEnd w:id="34"/>
    </w:p>
    <w:p>
      <w:pPr>
        <w:spacing w:after="180" w:afterLines="50"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rPr>
        <w:t>（1）</w:t>
      </w:r>
      <w:r>
        <w:rPr>
          <w:rFonts w:hint="eastAsia" w:ascii="宋体" w:hAnsi="宋体" w:eastAsia="宋体" w:cs="宋体"/>
          <w:sz w:val="24"/>
          <w:szCs w:val="24"/>
          <w:lang w:val="en-US" w:eastAsia="zh-Hans"/>
        </w:rPr>
        <w:t>操作系统</w:t>
      </w:r>
    </w:p>
    <w:p>
      <w:pPr>
        <w:spacing w:after="18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系统应能满足在WINDOWS和LINUX/UNIX操作系统上运行。</w:t>
      </w:r>
    </w:p>
    <w:p>
      <w:pPr>
        <w:spacing w:after="18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（2）应用服务器系统</w:t>
      </w:r>
    </w:p>
    <w:p>
      <w:pPr>
        <w:spacing w:after="18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支持多种硬件和系统平台，提供跨网络、硬件和操作系统平台的透明性的应用或服务的交互功能，支持标准的协议。</w:t>
      </w:r>
      <w:r>
        <w:rPr>
          <w:rFonts w:hint="eastAsia" w:ascii="宋体" w:hAnsi="宋体" w:eastAsia="宋体" w:cs="宋体"/>
          <w:sz w:val="24"/>
          <w:szCs w:val="24"/>
        </w:rPr>
        <w:br w:type="textWrapping"/>
      </w:r>
      <w:r>
        <w:rPr>
          <w:rFonts w:hint="eastAsia" w:ascii="宋体" w:hAnsi="宋体" w:eastAsia="宋体" w:cs="宋体"/>
          <w:sz w:val="24"/>
          <w:szCs w:val="24"/>
        </w:rPr>
        <w:t xml:space="preserve">  </w:t>
      </w:r>
      <w:r>
        <w:rPr>
          <w:rFonts w:hint="default" w:ascii="宋体" w:hAnsi="宋体" w:cs="宋体"/>
          <w:sz w:val="24"/>
          <w:szCs w:val="24"/>
          <w:lang w:val="en-US"/>
        </w:rPr>
        <w:t xml:space="preserve">  </w:t>
      </w:r>
      <w:r>
        <w:rPr>
          <w:rFonts w:hint="eastAsia" w:ascii="宋体" w:hAnsi="宋体" w:eastAsia="宋体" w:cs="宋体"/>
          <w:sz w:val="24"/>
          <w:szCs w:val="24"/>
        </w:rPr>
        <w:t>（3）服务器端要求</w:t>
      </w:r>
    </w:p>
    <w:p>
      <w:pPr>
        <w:spacing w:after="18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对于核心数据库服务器和应用服务应支持双机热备和集群功能；随着业务负载量加大，可通过服务器群集扩展部署方案提升系统负载能力；</w:t>
      </w:r>
    </w:p>
    <w:p>
      <w:pPr>
        <w:spacing w:after="18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支持WebLogic、WebSphere、Tomcat等多种主流应用服务器。支持SQL SERVER 、ORACLE和MYSQL等大型的主流数据库。</w:t>
      </w:r>
      <w:r>
        <w:rPr>
          <w:rFonts w:hint="eastAsia" w:ascii="宋体" w:hAnsi="宋体" w:eastAsia="宋体" w:cs="宋体"/>
          <w:sz w:val="24"/>
          <w:szCs w:val="24"/>
        </w:rPr>
        <w:br w:type="textWrapping"/>
      </w:r>
      <w:r>
        <w:rPr>
          <w:rFonts w:hint="eastAsia" w:ascii="宋体" w:hAnsi="宋体" w:eastAsia="宋体" w:cs="宋体"/>
          <w:sz w:val="24"/>
          <w:szCs w:val="24"/>
        </w:rPr>
        <w:t xml:space="preserve">   （4）系统部署与发布</w:t>
      </w:r>
    </w:p>
    <w:p>
      <w:pPr>
        <w:spacing w:after="18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需有良好的部署方式，满足快速部署需求，支持系统热部署，支持分布式部署，在确保数据完整性的同时，能够支持客户端、服务器端、数据库分离部署，从而可以在多台计算机上平衡计算负荷，以支持网络应用。</w:t>
      </w:r>
    </w:p>
    <w:p>
      <w:pPr>
        <w:pStyle w:val="4"/>
        <w:bidi w:val="0"/>
        <w:rPr>
          <w:rFonts w:hint="eastAsia"/>
          <w:lang w:val="en-US" w:eastAsia="zh-Hans"/>
        </w:rPr>
      </w:pPr>
      <w:bookmarkStart w:id="35" w:name="_Toc261396798"/>
      <w:r>
        <w:rPr>
          <w:rFonts w:hint="eastAsia"/>
        </w:rPr>
        <w:t>商务条件</w:t>
      </w:r>
      <w:bookmarkEnd w:id="35"/>
      <w:r>
        <w:rPr>
          <w:rFonts w:hint="default"/>
        </w:rPr>
        <w:t>（</w:t>
      </w:r>
      <w:r>
        <w:rPr>
          <w:rStyle w:val="11"/>
          <w:rFonts w:hint="eastAsia" w:ascii="宋体" w:hAnsi="宋体" w:cs="宋体"/>
          <w:b/>
          <w:szCs w:val="24"/>
        </w:rPr>
        <w:t>以“★”标示的内容为不允许负偏离的实质性要求）</w:t>
      </w:r>
    </w:p>
    <w:p>
      <w:pPr>
        <w:pStyle w:val="5"/>
        <w:bidi w:val="0"/>
        <w:spacing w:line="360" w:lineRule="auto"/>
        <w:rPr>
          <w:rFonts w:hint="eastAsia" w:asciiTheme="minorEastAsia" w:hAnsiTheme="minorEastAsia" w:eastAsiaTheme="minorEastAsia" w:cstheme="minorEastAsia"/>
          <w:b w:val="0"/>
          <w:bCs/>
        </w:rPr>
      </w:pPr>
      <w:bookmarkStart w:id="36" w:name="_Toc1691925871"/>
      <w:r>
        <w:rPr>
          <w:rFonts w:hint="eastAsia" w:asciiTheme="minorEastAsia" w:hAnsiTheme="minorEastAsia" w:eastAsiaTheme="minorEastAsia" w:cstheme="minorEastAsia"/>
          <w:b w:val="0"/>
          <w:bCs/>
        </w:rPr>
        <w:t>交付地点：</w:t>
      </w:r>
      <w:bookmarkEnd w:id="36"/>
      <w:bookmarkStart w:id="37" w:name="_Toc1367143970"/>
      <w:r>
        <w:rPr>
          <w:rFonts w:hint="eastAsia" w:asciiTheme="minorEastAsia" w:hAnsiTheme="minorEastAsia" w:eastAsiaTheme="minorEastAsia" w:cstheme="minorEastAsia"/>
          <w:b w:val="0"/>
          <w:bCs/>
          <w:lang w:val="en-US" w:eastAsia="zh-CN"/>
        </w:rPr>
        <w:t>福州名城保护开发有限公司</w:t>
      </w:r>
    </w:p>
    <w:p>
      <w:pPr>
        <w:pStyle w:val="5"/>
        <w:bidi w:val="0"/>
        <w:rPr>
          <w:rFonts w:hint="eastAsia" w:asciiTheme="minorEastAsia" w:hAnsiTheme="minorEastAsia" w:eastAsiaTheme="minorEastAsia" w:cstheme="minorEastAsia"/>
          <w:b w:val="0"/>
          <w:bCs/>
          <w:highlight w:val="none"/>
        </w:rPr>
      </w:pPr>
      <w:r>
        <w:rPr>
          <w:rFonts w:hint="eastAsia" w:asciiTheme="minorEastAsia" w:hAnsiTheme="minorEastAsia" w:eastAsiaTheme="minorEastAsia" w:cstheme="minorEastAsia"/>
          <w:b w:val="0"/>
          <w:bCs/>
          <w:highlight w:val="none"/>
        </w:rPr>
        <w:t>交付时间：</w:t>
      </w:r>
      <w:bookmarkEnd w:id="37"/>
      <w:r>
        <w:rPr>
          <w:rFonts w:hint="eastAsia" w:asciiTheme="minorEastAsia" w:hAnsiTheme="minorEastAsia" w:eastAsiaTheme="minorEastAsia" w:cstheme="minorEastAsia"/>
          <w:b w:val="0"/>
          <w:bCs w:val="0"/>
          <w:color w:val="auto"/>
          <w:sz w:val="24"/>
          <w:szCs w:val="24"/>
          <w:highlight w:val="none"/>
        </w:rPr>
        <w:t>合同签订后60</w:t>
      </w:r>
      <w:r>
        <w:rPr>
          <w:rFonts w:hint="eastAsia" w:asciiTheme="minorEastAsia" w:hAnsiTheme="minorEastAsia" w:eastAsiaTheme="minorEastAsia" w:cstheme="minorEastAsia"/>
          <w:b w:val="0"/>
          <w:bCs w:val="0"/>
          <w:color w:val="auto"/>
          <w:sz w:val="24"/>
          <w:szCs w:val="24"/>
          <w:highlight w:val="none"/>
          <w:lang w:val="en-US" w:eastAsia="zh-Hans"/>
        </w:rPr>
        <w:t>个</w:t>
      </w:r>
      <w:r>
        <w:rPr>
          <w:rFonts w:hint="eastAsia" w:asciiTheme="minorEastAsia" w:hAnsiTheme="minorEastAsia" w:eastAsiaTheme="minorEastAsia" w:cstheme="minorEastAsia"/>
          <w:b w:val="0"/>
          <w:bCs w:val="0"/>
          <w:color w:val="auto"/>
          <w:sz w:val="24"/>
          <w:szCs w:val="24"/>
          <w:highlight w:val="none"/>
        </w:rPr>
        <w:t>工作日内完成</w:t>
      </w:r>
      <w:r>
        <w:rPr>
          <w:rFonts w:hint="eastAsia" w:asciiTheme="minorEastAsia" w:hAnsiTheme="minorEastAsia" w:eastAsiaTheme="minorEastAsia" w:cstheme="minorEastAsia"/>
          <w:b w:val="0"/>
          <w:bCs w:val="0"/>
          <w:color w:val="auto"/>
          <w:sz w:val="24"/>
          <w:szCs w:val="24"/>
          <w:highlight w:val="none"/>
          <w:lang w:val="en-US" w:eastAsia="zh-Hans"/>
        </w:rPr>
        <w:t>招标内容及要求的</w:t>
      </w:r>
      <w:r>
        <w:rPr>
          <w:rFonts w:hint="eastAsia" w:asciiTheme="minorEastAsia" w:hAnsiTheme="minorEastAsia" w:eastAsiaTheme="minorEastAsia" w:cstheme="minorEastAsia"/>
          <w:b w:val="0"/>
          <w:bCs w:val="0"/>
          <w:color w:val="auto"/>
          <w:sz w:val="24"/>
          <w:szCs w:val="24"/>
          <w:highlight w:val="none"/>
        </w:rPr>
        <w:t>功能</w:t>
      </w:r>
      <w:r>
        <w:rPr>
          <w:rFonts w:hint="eastAsia" w:asciiTheme="minorEastAsia" w:hAnsiTheme="minorEastAsia" w:eastAsiaTheme="minorEastAsia" w:cstheme="minorEastAsia"/>
          <w:b w:val="0"/>
          <w:bCs w:val="0"/>
          <w:color w:val="auto"/>
          <w:sz w:val="24"/>
          <w:szCs w:val="24"/>
          <w:highlight w:val="none"/>
          <w:lang w:val="en-US" w:eastAsia="zh-Hans"/>
        </w:rPr>
        <w:t>建设</w:t>
      </w:r>
      <w:r>
        <w:rPr>
          <w:rFonts w:hint="eastAsia" w:asciiTheme="minorEastAsia" w:hAnsiTheme="minorEastAsia" w:eastAsiaTheme="minorEastAsia" w:cstheme="minorEastAsia"/>
          <w:b w:val="0"/>
          <w:bCs w:val="0"/>
          <w:color w:val="auto"/>
          <w:sz w:val="24"/>
          <w:szCs w:val="24"/>
          <w:highlight w:val="none"/>
        </w:rPr>
        <w:t>。</w:t>
      </w:r>
    </w:p>
    <w:p>
      <w:pPr>
        <w:pStyle w:val="5"/>
        <w:bidi w:val="0"/>
        <w:spacing w:line="360" w:lineRule="auto"/>
        <w:rPr>
          <w:rFonts w:hint="eastAsia" w:asciiTheme="minorEastAsia" w:hAnsiTheme="minorEastAsia" w:eastAsiaTheme="minorEastAsia" w:cstheme="minorEastAsia"/>
          <w:b w:val="0"/>
          <w:bCs/>
        </w:rPr>
      </w:pPr>
      <w:bookmarkStart w:id="38" w:name="_Toc1661164537"/>
      <w:r>
        <w:rPr>
          <w:rFonts w:hint="eastAsia" w:asciiTheme="minorEastAsia" w:hAnsiTheme="minorEastAsia" w:eastAsiaTheme="minorEastAsia" w:cstheme="minorEastAsia"/>
          <w:b w:val="0"/>
          <w:bCs/>
        </w:rPr>
        <w:t>交付条件：验收合格完毕</w:t>
      </w:r>
      <w:bookmarkEnd w:id="38"/>
    </w:p>
    <w:p>
      <w:pPr>
        <w:pStyle w:val="5"/>
        <w:bidi w:val="0"/>
        <w:spacing w:line="360" w:lineRule="auto"/>
        <w:rPr>
          <w:rFonts w:hint="eastAsia" w:asciiTheme="minorEastAsia" w:hAnsiTheme="minorEastAsia" w:eastAsiaTheme="minorEastAsia" w:cstheme="minorEastAsia"/>
          <w:b w:val="0"/>
          <w:bCs/>
        </w:rPr>
      </w:pPr>
      <w:bookmarkStart w:id="39" w:name="_Toc1904962359"/>
      <w:r>
        <w:rPr>
          <w:rFonts w:hint="eastAsia" w:asciiTheme="minorEastAsia" w:hAnsiTheme="minorEastAsia" w:eastAsiaTheme="minorEastAsia" w:cstheme="minorEastAsia"/>
          <w:b w:val="0"/>
          <w:bCs/>
        </w:rPr>
        <w:t>是否收取履约保证金：否</w:t>
      </w:r>
      <w:bookmarkEnd w:id="39"/>
    </w:p>
    <w:p>
      <w:pPr>
        <w:pStyle w:val="5"/>
        <w:bidi w:val="0"/>
        <w:spacing w:line="360" w:lineRule="auto"/>
        <w:rPr>
          <w:rFonts w:hint="eastAsia" w:asciiTheme="minorEastAsia" w:hAnsiTheme="minorEastAsia" w:eastAsiaTheme="minorEastAsia" w:cstheme="minorEastAsia"/>
          <w:b w:val="0"/>
          <w:bCs/>
        </w:rPr>
      </w:pPr>
      <w:bookmarkStart w:id="40" w:name="_Toc2016158237"/>
      <w:r>
        <w:rPr>
          <w:rFonts w:hint="eastAsia" w:asciiTheme="minorEastAsia" w:hAnsiTheme="minorEastAsia" w:eastAsiaTheme="minorEastAsia" w:cstheme="minorEastAsia"/>
          <w:b w:val="0"/>
          <w:bCs/>
        </w:rPr>
        <w:t>支付方式数据表格</w:t>
      </w:r>
      <w:bookmarkEnd w:id="40"/>
      <w:r>
        <w:rPr>
          <w:rFonts w:hint="default" w:asciiTheme="minorEastAsia" w:hAnsiTheme="minorEastAsia" w:eastAsiaTheme="minorEastAsia" w:cstheme="minorEastAsia"/>
          <w:b w:val="0"/>
          <w:bCs/>
        </w:rPr>
        <w:t>（</w:t>
      </w:r>
      <w:r>
        <w:rPr>
          <w:rFonts w:hint="eastAsia" w:asciiTheme="minorEastAsia" w:hAnsiTheme="minorEastAsia" w:eastAsiaTheme="minorEastAsia" w:cstheme="minorEastAsia"/>
          <w:b w:val="0"/>
          <w:bCs/>
          <w:lang w:val="en-US" w:eastAsia="zh-Hans"/>
        </w:rPr>
        <w:t>中标方</w:t>
      </w:r>
      <w:r>
        <w:rPr>
          <w:rFonts w:hint="eastAsia" w:asciiTheme="minorEastAsia" w:hAnsiTheme="minorEastAsia" w:eastAsiaTheme="minorEastAsia" w:cstheme="minorEastAsia"/>
          <w:b w:val="0"/>
          <w:bCs/>
          <w:lang w:val="en-US" w:eastAsia="zh-CN"/>
        </w:rPr>
        <w:t>须</w:t>
      </w:r>
      <w:r>
        <w:rPr>
          <w:rFonts w:hint="eastAsia" w:asciiTheme="minorEastAsia" w:hAnsiTheme="minorEastAsia" w:eastAsiaTheme="minorEastAsia" w:cstheme="minorEastAsia"/>
          <w:b w:val="0"/>
          <w:bCs/>
          <w:lang w:val="en-US" w:eastAsia="zh-Hans"/>
        </w:rPr>
        <w:t>提供相应金额的增值税专用发票</w:t>
      </w:r>
      <w:r>
        <w:rPr>
          <w:rFonts w:hint="default" w:asciiTheme="minorEastAsia" w:hAnsiTheme="minorEastAsia" w:eastAsiaTheme="minorEastAsia" w:cstheme="minorEastAsia"/>
          <w:b w:val="0"/>
          <w:bCs/>
        </w:rPr>
        <w:t>）</w:t>
      </w:r>
    </w:p>
    <w:tbl>
      <w:tblPr>
        <w:tblStyle w:val="9"/>
        <w:tblW w:w="5284"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68"/>
        <w:gridCol w:w="1397"/>
        <w:gridCol w:w="63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9" w:hRule="atLeast"/>
          <w:tblHeader/>
        </w:trPr>
        <w:tc>
          <w:tcPr>
            <w:tcW w:w="607"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rPr>
            </w:pPr>
            <w:r>
              <w:rPr>
                <w:rFonts w:hint="eastAsia" w:ascii="宋体" w:hAnsi="宋体" w:cs="宋体"/>
                <w:kern w:val="0"/>
                <w:sz w:val="24"/>
                <w:szCs w:val="24"/>
                <w:lang w:bidi="ar"/>
              </w:rPr>
              <w:t>支付期次</w:t>
            </w:r>
          </w:p>
        </w:tc>
        <w:tc>
          <w:tcPr>
            <w:tcW w:w="794"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rPr>
            </w:pPr>
            <w:r>
              <w:rPr>
                <w:rFonts w:hint="eastAsia" w:ascii="宋体" w:hAnsi="宋体" w:cs="宋体"/>
                <w:kern w:val="0"/>
                <w:sz w:val="24"/>
                <w:szCs w:val="24"/>
                <w:lang w:bidi="ar"/>
              </w:rPr>
              <w:t>支付比例(%)</w:t>
            </w:r>
          </w:p>
        </w:tc>
        <w:tc>
          <w:tcPr>
            <w:tcW w:w="3598"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rPr>
            </w:pPr>
            <w:r>
              <w:rPr>
                <w:rFonts w:hint="eastAsia" w:ascii="宋体" w:hAnsi="宋体" w:cs="宋体"/>
                <w:kern w:val="0"/>
                <w:sz w:val="24"/>
                <w:szCs w:val="24"/>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3" w:hRule="atLeast"/>
        </w:trPr>
        <w:tc>
          <w:tcPr>
            <w:tcW w:w="607"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794"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kern w:val="0"/>
                <w:sz w:val="24"/>
              </w:rPr>
            </w:pPr>
            <w:r>
              <w:rPr>
                <w:rFonts w:hint="default" w:ascii="宋体" w:hAnsi="宋体" w:cs="宋体"/>
                <w:kern w:val="0"/>
                <w:sz w:val="24"/>
              </w:rPr>
              <w:t>6</w:t>
            </w:r>
            <w:r>
              <w:rPr>
                <w:rFonts w:hint="eastAsia" w:ascii="宋体" w:hAnsi="宋体" w:cs="宋体"/>
                <w:kern w:val="0"/>
                <w:sz w:val="24"/>
              </w:rPr>
              <w:t>0</w:t>
            </w:r>
          </w:p>
        </w:tc>
        <w:tc>
          <w:tcPr>
            <w:tcW w:w="3598"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合同签订后7个工作日支付中标合同金额的</w:t>
            </w:r>
            <w:r>
              <w:rPr>
                <w:rFonts w:hint="default" w:ascii="宋体" w:hAnsi="宋体" w:cs="宋体"/>
                <w:kern w:val="0"/>
                <w:sz w:val="24"/>
              </w:rPr>
              <w:t>6</w:t>
            </w:r>
            <w:r>
              <w:rPr>
                <w:rFonts w:hint="eastAsia" w:ascii="宋体" w:hAnsi="宋体" w:cs="宋体"/>
                <w:kern w:val="0"/>
                <w:sz w:val="24"/>
              </w:rPr>
              <w:t>0%作为预付款资金；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3" w:hRule="atLeast"/>
        </w:trPr>
        <w:tc>
          <w:tcPr>
            <w:tcW w:w="607"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794"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3</w:t>
            </w:r>
            <w:r>
              <w:rPr>
                <w:rFonts w:hint="default" w:ascii="宋体" w:hAnsi="宋体" w:cs="宋体"/>
                <w:kern w:val="0"/>
                <w:sz w:val="24"/>
              </w:rPr>
              <w:t>5</w:t>
            </w:r>
          </w:p>
        </w:tc>
        <w:tc>
          <w:tcPr>
            <w:tcW w:w="3598"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系统上线</w:t>
            </w:r>
            <w:r>
              <w:rPr>
                <w:rFonts w:hint="eastAsia" w:ascii="宋体" w:hAnsi="宋体" w:cs="宋体"/>
                <w:kern w:val="0"/>
                <w:sz w:val="24"/>
                <w:lang w:val="en-US" w:eastAsia="zh-CN"/>
              </w:rPr>
              <w:t>试运行期满</w:t>
            </w:r>
            <w:r>
              <w:rPr>
                <w:rFonts w:hint="eastAsia" w:ascii="宋体" w:hAnsi="宋体" w:cs="宋体"/>
                <w:kern w:val="0"/>
                <w:sz w:val="24"/>
                <w:lang w:val="en-US" w:eastAsia="zh-Hans"/>
              </w:rPr>
              <w:t>并验收合格</w:t>
            </w:r>
            <w:r>
              <w:rPr>
                <w:rFonts w:hint="eastAsia" w:ascii="宋体" w:hAnsi="宋体" w:cs="宋体"/>
                <w:kern w:val="0"/>
                <w:sz w:val="24"/>
              </w:rPr>
              <w:t>后7个工作日支付中标合同金额的3</w:t>
            </w:r>
            <w:r>
              <w:rPr>
                <w:rFonts w:hint="default" w:ascii="宋体" w:hAnsi="宋体" w:cs="宋体"/>
                <w:kern w:val="0"/>
                <w:sz w:val="24"/>
              </w:rPr>
              <w:t>5</w:t>
            </w:r>
            <w:r>
              <w:rPr>
                <w:rFonts w:hint="eastAsia" w:ascii="宋体" w:hAnsi="宋体" w:cs="宋体"/>
                <w:kern w:val="0"/>
                <w:sz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6" w:hRule="atLeast"/>
        </w:trPr>
        <w:tc>
          <w:tcPr>
            <w:tcW w:w="607" w:type="pct"/>
            <w:noWrap w:val="0"/>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794" w:type="pct"/>
            <w:noWrap w:val="0"/>
            <w:vAlign w:val="center"/>
          </w:tcPr>
          <w:p>
            <w:pPr>
              <w:widowControl/>
              <w:jc w:val="center"/>
              <w:rPr>
                <w:rFonts w:hint="eastAsia" w:ascii="宋体" w:hAnsi="宋体" w:cs="宋体"/>
                <w:kern w:val="0"/>
                <w:sz w:val="24"/>
              </w:rPr>
            </w:pPr>
            <w:r>
              <w:rPr>
                <w:rFonts w:hint="default" w:ascii="宋体" w:hAnsi="宋体" w:cs="宋体"/>
                <w:kern w:val="0"/>
                <w:sz w:val="24"/>
              </w:rPr>
              <w:t>5</w:t>
            </w:r>
          </w:p>
        </w:tc>
        <w:tc>
          <w:tcPr>
            <w:tcW w:w="3598" w:type="pct"/>
            <w:noWrap w:val="0"/>
            <w:vAlign w:val="center"/>
          </w:tcPr>
          <w:p>
            <w:pPr>
              <w:widowControl/>
              <w:jc w:val="left"/>
              <w:rPr>
                <w:rFonts w:hint="eastAsia" w:ascii="宋体" w:hAnsi="宋体" w:cs="宋体"/>
                <w:kern w:val="0"/>
                <w:sz w:val="24"/>
              </w:rPr>
            </w:pPr>
            <w:r>
              <w:rPr>
                <w:rFonts w:hint="eastAsia" w:ascii="宋体" w:hAnsi="宋体" w:cs="宋体"/>
                <w:kern w:val="0"/>
                <w:sz w:val="24"/>
                <w:lang w:val="en-US" w:eastAsia="zh-Hans"/>
              </w:rPr>
              <w:t>质保期满</w:t>
            </w:r>
            <w:r>
              <w:rPr>
                <w:rFonts w:hint="eastAsia" w:ascii="宋体" w:hAnsi="宋体" w:cs="宋体"/>
                <w:kern w:val="0"/>
                <w:sz w:val="24"/>
              </w:rPr>
              <w:t>后7个工作日支付中标合同金额的</w:t>
            </w:r>
            <w:r>
              <w:rPr>
                <w:rFonts w:hint="default" w:ascii="宋体" w:hAnsi="宋体" w:cs="宋体"/>
                <w:kern w:val="0"/>
                <w:sz w:val="24"/>
              </w:rPr>
              <w:t>5</w:t>
            </w:r>
            <w:r>
              <w:rPr>
                <w:rFonts w:hint="eastAsia" w:ascii="宋体" w:hAnsi="宋体" w:cs="宋体"/>
                <w:kern w:val="0"/>
                <w:sz w:val="24"/>
              </w:rPr>
              <w:t>%；</w:t>
            </w:r>
          </w:p>
        </w:tc>
      </w:tr>
      <w:bookmarkEnd w:id="17"/>
      <w:bookmarkEnd w:id="18"/>
      <w:bookmarkEnd w:id="19"/>
      <w:bookmarkEnd w:id="20"/>
      <w:bookmarkEnd w:id="21"/>
    </w:tbl>
    <w:p>
      <w:pPr>
        <w:numPr>
          <w:ilvl w:val="0"/>
          <w:numId w:val="0"/>
        </w:numPr>
        <w:rPr>
          <w:rFonts w:hint="eastAsia"/>
          <w:lang w:val="en-US" w:eastAsia="zh-Hans"/>
        </w:rPr>
      </w:pPr>
    </w:p>
    <w:p>
      <w:pPr>
        <w:rPr>
          <w:rFonts w:hint="eastAsia" w:ascii="宋体" w:hAnsi="宋体" w:eastAsia="宋体" w:cs="Times New Roman"/>
          <w:szCs w:val="21"/>
        </w:rPr>
      </w:pPr>
    </w:p>
    <w:p>
      <w:pPr>
        <w:spacing w:line="360" w:lineRule="auto"/>
        <w:jc w:val="center"/>
        <w:rPr>
          <w:rFonts w:hint="eastAsia" w:ascii="宋体" w:hAnsi="宋体" w:cs="宋体"/>
          <w:b/>
          <w:bCs/>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hint="eastAsia" w:ascii="宋体" w:hAnsi="宋体" w:cs="宋体"/>
          <w:b/>
          <w:sz w:val="28"/>
          <w:szCs w:val="28"/>
        </w:rPr>
      </w:pPr>
      <w:r>
        <w:rPr>
          <w:rFonts w:hint="eastAsia" w:ascii="宋体" w:hAnsi="宋体" w:cs="宋体"/>
          <w:b/>
          <w:bCs/>
          <w:sz w:val="28"/>
          <w:szCs w:val="28"/>
        </w:rPr>
        <w:t>技术服务要求响应表</w:t>
      </w:r>
    </w:p>
    <w:p>
      <w:pPr>
        <w:spacing w:line="360" w:lineRule="auto"/>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948"/>
        <w:gridCol w:w="2712"/>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tblHeader/>
        </w:trPr>
        <w:tc>
          <w:tcPr>
            <w:tcW w:w="730" w:type="dxa"/>
            <w:shd w:val="clear" w:color="auto" w:fill="FFCC99"/>
            <w:noWrap w:val="0"/>
            <w:vAlign w:val="center"/>
          </w:tcPr>
          <w:p>
            <w:pPr>
              <w:spacing w:line="280" w:lineRule="exact"/>
              <w:jc w:val="center"/>
              <w:rPr>
                <w:rFonts w:hint="eastAsia" w:ascii="宋体" w:hAnsi="宋体" w:cs="宋体"/>
                <w:sz w:val="24"/>
              </w:rPr>
            </w:pPr>
            <w:r>
              <w:rPr>
                <w:rFonts w:hint="eastAsia" w:ascii="宋体" w:hAnsi="宋体" w:cs="宋体"/>
                <w:sz w:val="24"/>
              </w:rPr>
              <w:t>序号</w:t>
            </w:r>
          </w:p>
        </w:tc>
        <w:tc>
          <w:tcPr>
            <w:tcW w:w="2948" w:type="dxa"/>
            <w:shd w:val="clear" w:color="auto" w:fill="FFCC99"/>
            <w:noWrap w:val="0"/>
            <w:vAlign w:val="center"/>
          </w:tcPr>
          <w:p>
            <w:pPr>
              <w:spacing w:line="280" w:lineRule="exact"/>
              <w:jc w:val="center"/>
              <w:rPr>
                <w:rFonts w:hint="eastAsia" w:ascii="宋体" w:hAnsi="宋体" w:cs="宋体"/>
                <w:sz w:val="24"/>
              </w:rPr>
            </w:pPr>
            <w:r>
              <w:rPr>
                <w:rFonts w:hint="eastAsia" w:ascii="宋体" w:hAnsi="宋体" w:cs="宋体"/>
                <w:sz w:val="24"/>
              </w:rPr>
              <w:t>技术服务要求</w:t>
            </w:r>
          </w:p>
        </w:tc>
        <w:tc>
          <w:tcPr>
            <w:tcW w:w="2712" w:type="dxa"/>
            <w:shd w:val="clear" w:color="auto" w:fill="FFCC99"/>
            <w:noWrap w:val="0"/>
            <w:vAlign w:val="center"/>
          </w:tcPr>
          <w:p>
            <w:pPr>
              <w:spacing w:line="280" w:lineRule="exact"/>
              <w:jc w:val="center"/>
              <w:rPr>
                <w:rFonts w:hint="eastAsia" w:ascii="宋体" w:hAnsi="宋体" w:cs="宋体"/>
                <w:sz w:val="24"/>
              </w:rPr>
            </w:pPr>
            <w:r>
              <w:rPr>
                <w:rFonts w:hint="eastAsia" w:ascii="宋体" w:hAnsi="宋体" w:cs="宋体"/>
                <w:sz w:val="24"/>
              </w:rPr>
              <w:t>技术服务响应情况</w:t>
            </w:r>
          </w:p>
        </w:tc>
        <w:tc>
          <w:tcPr>
            <w:tcW w:w="2139" w:type="dxa"/>
            <w:shd w:val="clear" w:color="auto" w:fill="FFCC99"/>
            <w:noWrap w:val="0"/>
            <w:vAlign w:val="center"/>
          </w:tcPr>
          <w:p>
            <w:pPr>
              <w:spacing w:line="280" w:lineRule="exact"/>
              <w:jc w:val="center"/>
              <w:rPr>
                <w:rFonts w:hint="eastAsia" w:ascii="宋体" w:hAnsi="宋体" w:cs="宋体"/>
                <w:sz w:val="24"/>
              </w:rPr>
            </w:pPr>
            <w:r>
              <w:rPr>
                <w:rFonts w:hint="eastAsia" w:ascii="宋体" w:hAnsi="宋体" w:cs="宋体"/>
                <w:sz w:val="24"/>
              </w:rPr>
              <w:t>偏离详细说明</w:t>
            </w:r>
          </w:p>
          <w:p>
            <w:pPr>
              <w:spacing w:line="280" w:lineRule="exact"/>
              <w:jc w:val="center"/>
              <w:rPr>
                <w:rFonts w:hint="eastAsia" w:ascii="宋体" w:hAnsi="宋体" w:cs="宋体"/>
                <w:sz w:val="24"/>
              </w:rPr>
            </w:pPr>
            <w:r>
              <w:rPr>
                <w:rFonts w:hint="eastAsia" w:ascii="宋体" w:hAnsi="宋体" w:cs="宋体"/>
                <w:sz w:val="24"/>
              </w:rPr>
              <w:t>（正偏离/完全响应/负偏离）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trPr>
        <w:tc>
          <w:tcPr>
            <w:tcW w:w="730" w:type="dxa"/>
            <w:noWrap w:val="0"/>
            <w:vAlign w:val="top"/>
          </w:tcPr>
          <w:p>
            <w:pPr>
              <w:numPr>
                <w:ilvl w:val="0"/>
                <w:numId w:val="2"/>
              </w:numPr>
              <w:jc w:val="center"/>
              <w:rPr>
                <w:rFonts w:hint="eastAsia" w:ascii="宋体" w:hAnsi="宋体" w:cs="宋体"/>
                <w:sz w:val="24"/>
              </w:rPr>
            </w:pPr>
          </w:p>
        </w:tc>
        <w:tc>
          <w:tcPr>
            <w:tcW w:w="2948" w:type="dxa"/>
            <w:noWrap w:val="0"/>
            <w:vAlign w:val="top"/>
          </w:tcPr>
          <w:p>
            <w:pPr>
              <w:rPr>
                <w:rFonts w:hint="eastAsia" w:ascii="宋体" w:hAnsi="宋体" w:cs="宋体"/>
                <w:sz w:val="24"/>
              </w:rPr>
            </w:pPr>
          </w:p>
        </w:tc>
        <w:tc>
          <w:tcPr>
            <w:tcW w:w="2712" w:type="dxa"/>
            <w:noWrap w:val="0"/>
            <w:vAlign w:val="top"/>
          </w:tcPr>
          <w:p>
            <w:pPr>
              <w:rPr>
                <w:rFonts w:hint="eastAsia" w:ascii="宋体" w:hAnsi="宋体" w:cs="宋体"/>
                <w:sz w:val="24"/>
              </w:rPr>
            </w:pPr>
          </w:p>
        </w:tc>
        <w:tc>
          <w:tcPr>
            <w:tcW w:w="2139"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trPr>
        <w:tc>
          <w:tcPr>
            <w:tcW w:w="730" w:type="dxa"/>
            <w:noWrap w:val="0"/>
            <w:vAlign w:val="top"/>
          </w:tcPr>
          <w:p>
            <w:pPr>
              <w:numPr>
                <w:ilvl w:val="0"/>
                <w:numId w:val="2"/>
              </w:numPr>
              <w:jc w:val="center"/>
              <w:rPr>
                <w:rFonts w:hint="eastAsia" w:ascii="宋体" w:hAnsi="宋体" w:cs="宋体"/>
                <w:sz w:val="24"/>
              </w:rPr>
            </w:pPr>
          </w:p>
        </w:tc>
        <w:tc>
          <w:tcPr>
            <w:tcW w:w="2948" w:type="dxa"/>
            <w:noWrap w:val="0"/>
            <w:vAlign w:val="top"/>
          </w:tcPr>
          <w:p>
            <w:pPr>
              <w:rPr>
                <w:rFonts w:hint="eastAsia" w:ascii="宋体" w:hAnsi="宋体" w:cs="宋体"/>
                <w:sz w:val="24"/>
              </w:rPr>
            </w:pPr>
          </w:p>
        </w:tc>
        <w:tc>
          <w:tcPr>
            <w:tcW w:w="2712" w:type="dxa"/>
            <w:noWrap w:val="0"/>
            <w:vAlign w:val="top"/>
          </w:tcPr>
          <w:p>
            <w:pPr>
              <w:rPr>
                <w:rFonts w:hint="eastAsia" w:ascii="宋体" w:hAnsi="宋体" w:cs="宋体"/>
                <w:sz w:val="24"/>
              </w:rPr>
            </w:pPr>
          </w:p>
        </w:tc>
        <w:tc>
          <w:tcPr>
            <w:tcW w:w="2139"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trPr>
        <w:tc>
          <w:tcPr>
            <w:tcW w:w="730" w:type="dxa"/>
            <w:noWrap w:val="0"/>
            <w:vAlign w:val="top"/>
          </w:tcPr>
          <w:p>
            <w:pPr>
              <w:numPr>
                <w:ilvl w:val="0"/>
                <w:numId w:val="2"/>
              </w:numPr>
              <w:jc w:val="center"/>
              <w:rPr>
                <w:rFonts w:hint="eastAsia" w:ascii="宋体" w:hAnsi="宋体" w:cs="宋体"/>
                <w:sz w:val="24"/>
              </w:rPr>
            </w:pPr>
          </w:p>
        </w:tc>
        <w:tc>
          <w:tcPr>
            <w:tcW w:w="2948" w:type="dxa"/>
            <w:noWrap w:val="0"/>
            <w:vAlign w:val="top"/>
          </w:tcPr>
          <w:p>
            <w:pPr>
              <w:rPr>
                <w:rFonts w:hint="eastAsia" w:ascii="宋体" w:hAnsi="宋体" w:cs="宋体"/>
                <w:sz w:val="24"/>
              </w:rPr>
            </w:pPr>
          </w:p>
        </w:tc>
        <w:tc>
          <w:tcPr>
            <w:tcW w:w="2712" w:type="dxa"/>
            <w:noWrap w:val="0"/>
            <w:vAlign w:val="top"/>
          </w:tcPr>
          <w:p>
            <w:pPr>
              <w:rPr>
                <w:rFonts w:hint="eastAsia" w:ascii="宋体" w:hAnsi="宋体" w:cs="宋体"/>
                <w:sz w:val="24"/>
              </w:rPr>
            </w:pPr>
          </w:p>
        </w:tc>
        <w:tc>
          <w:tcPr>
            <w:tcW w:w="2139"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trPr>
        <w:tc>
          <w:tcPr>
            <w:tcW w:w="730" w:type="dxa"/>
            <w:noWrap w:val="0"/>
            <w:vAlign w:val="top"/>
          </w:tcPr>
          <w:p>
            <w:pPr>
              <w:numPr>
                <w:ilvl w:val="0"/>
                <w:numId w:val="2"/>
              </w:numPr>
              <w:jc w:val="center"/>
              <w:rPr>
                <w:rFonts w:hint="eastAsia" w:ascii="宋体" w:hAnsi="宋体" w:cs="宋体"/>
                <w:sz w:val="24"/>
              </w:rPr>
            </w:pPr>
          </w:p>
        </w:tc>
        <w:tc>
          <w:tcPr>
            <w:tcW w:w="2948" w:type="dxa"/>
            <w:noWrap w:val="0"/>
            <w:vAlign w:val="top"/>
          </w:tcPr>
          <w:p>
            <w:pPr>
              <w:rPr>
                <w:rFonts w:hint="eastAsia" w:ascii="宋体" w:hAnsi="宋体" w:cs="宋体"/>
                <w:sz w:val="24"/>
              </w:rPr>
            </w:pPr>
          </w:p>
        </w:tc>
        <w:tc>
          <w:tcPr>
            <w:tcW w:w="2712" w:type="dxa"/>
            <w:noWrap w:val="0"/>
            <w:vAlign w:val="top"/>
          </w:tcPr>
          <w:p>
            <w:pPr>
              <w:rPr>
                <w:rFonts w:hint="eastAsia" w:ascii="宋体" w:hAnsi="宋体" w:cs="宋体"/>
                <w:sz w:val="24"/>
              </w:rPr>
            </w:pPr>
          </w:p>
        </w:tc>
        <w:tc>
          <w:tcPr>
            <w:tcW w:w="2139"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trPr>
        <w:tc>
          <w:tcPr>
            <w:tcW w:w="730" w:type="dxa"/>
            <w:noWrap w:val="0"/>
            <w:vAlign w:val="top"/>
          </w:tcPr>
          <w:p>
            <w:pPr>
              <w:numPr>
                <w:ilvl w:val="0"/>
                <w:numId w:val="2"/>
              </w:numPr>
              <w:jc w:val="center"/>
              <w:rPr>
                <w:rFonts w:hint="eastAsia" w:ascii="宋体" w:hAnsi="宋体" w:cs="宋体"/>
                <w:sz w:val="24"/>
              </w:rPr>
            </w:pPr>
          </w:p>
        </w:tc>
        <w:tc>
          <w:tcPr>
            <w:tcW w:w="2948" w:type="dxa"/>
            <w:noWrap w:val="0"/>
            <w:vAlign w:val="top"/>
          </w:tcPr>
          <w:p>
            <w:pPr>
              <w:rPr>
                <w:rFonts w:hint="eastAsia" w:ascii="宋体" w:hAnsi="宋体" w:cs="宋体"/>
                <w:sz w:val="24"/>
              </w:rPr>
            </w:pPr>
          </w:p>
        </w:tc>
        <w:tc>
          <w:tcPr>
            <w:tcW w:w="2712" w:type="dxa"/>
            <w:noWrap w:val="0"/>
            <w:vAlign w:val="top"/>
          </w:tcPr>
          <w:p>
            <w:pPr>
              <w:rPr>
                <w:rFonts w:hint="eastAsia" w:ascii="宋体" w:hAnsi="宋体" w:cs="宋体"/>
                <w:sz w:val="24"/>
              </w:rPr>
            </w:pPr>
          </w:p>
        </w:tc>
        <w:tc>
          <w:tcPr>
            <w:tcW w:w="2139"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trPr>
        <w:tc>
          <w:tcPr>
            <w:tcW w:w="730" w:type="dxa"/>
            <w:noWrap w:val="0"/>
            <w:vAlign w:val="top"/>
          </w:tcPr>
          <w:p>
            <w:pPr>
              <w:numPr>
                <w:ilvl w:val="0"/>
                <w:numId w:val="2"/>
              </w:numPr>
              <w:jc w:val="center"/>
              <w:rPr>
                <w:rFonts w:hint="eastAsia" w:ascii="宋体" w:hAnsi="宋体" w:cs="宋体"/>
                <w:sz w:val="24"/>
              </w:rPr>
            </w:pPr>
          </w:p>
        </w:tc>
        <w:tc>
          <w:tcPr>
            <w:tcW w:w="2948" w:type="dxa"/>
            <w:noWrap w:val="0"/>
            <w:vAlign w:val="top"/>
          </w:tcPr>
          <w:p>
            <w:pPr>
              <w:rPr>
                <w:rFonts w:hint="eastAsia" w:ascii="宋体" w:hAnsi="宋体" w:cs="宋体"/>
                <w:sz w:val="24"/>
              </w:rPr>
            </w:pPr>
          </w:p>
        </w:tc>
        <w:tc>
          <w:tcPr>
            <w:tcW w:w="2712" w:type="dxa"/>
            <w:noWrap w:val="0"/>
            <w:vAlign w:val="top"/>
          </w:tcPr>
          <w:p>
            <w:pPr>
              <w:rPr>
                <w:rFonts w:hint="eastAsia" w:ascii="宋体" w:hAnsi="宋体" w:cs="宋体"/>
                <w:sz w:val="24"/>
              </w:rPr>
            </w:pPr>
          </w:p>
        </w:tc>
        <w:tc>
          <w:tcPr>
            <w:tcW w:w="2139"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trPr>
        <w:tc>
          <w:tcPr>
            <w:tcW w:w="730" w:type="dxa"/>
            <w:noWrap w:val="0"/>
            <w:vAlign w:val="top"/>
          </w:tcPr>
          <w:p>
            <w:pPr>
              <w:numPr>
                <w:ilvl w:val="0"/>
                <w:numId w:val="2"/>
              </w:numPr>
              <w:jc w:val="center"/>
              <w:rPr>
                <w:rFonts w:hint="eastAsia" w:ascii="宋体" w:hAnsi="宋体" w:cs="宋体"/>
                <w:sz w:val="24"/>
              </w:rPr>
            </w:pPr>
          </w:p>
        </w:tc>
        <w:tc>
          <w:tcPr>
            <w:tcW w:w="2948" w:type="dxa"/>
            <w:noWrap w:val="0"/>
            <w:vAlign w:val="top"/>
          </w:tcPr>
          <w:p>
            <w:pPr>
              <w:rPr>
                <w:rFonts w:hint="eastAsia" w:ascii="宋体" w:hAnsi="宋体" w:cs="宋体"/>
                <w:sz w:val="24"/>
              </w:rPr>
            </w:pPr>
            <w:r>
              <w:rPr>
                <w:rFonts w:hint="eastAsia" w:ascii="宋体" w:hAnsi="宋体" w:cs="宋体"/>
                <w:sz w:val="24"/>
              </w:rPr>
              <w:t>……</w:t>
            </w:r>
          </w:p>
        </w:tc>
        <w:tc>
          <w:tcPr>
            <w:tcW w:w="2712" w:type="dxa"/>
            <w:noWrap w:val="0"/>
            <w:vAlign w:val="top"/>
          </w:tcPr>
          <w:p>
            <w:pPr>
              <w:rPr>
                <w:rFonts w:hint="eastAsia" w:ascii="宋体" w:hAnsi="宋体" w:cs="宋体"/>
                <w:sz w:val="24"/>
              </w:rPr>
            </w:pPr>
          </w:p>
        </w:tc>
        <w:tc>
          <w:tcPr>
            <w:tcW w:w="2139" w:type="dxa"/>
            <w:noWrap w:val="0"/>
            <w:vAlign w:val="top"/>
          </w:tcPr>
          <w:p>
            <w:pPr>
              <w:rPr>
                <w:rFonts w:hint="eastAsia" w:ascii="宋体" w:hAnsi="宋体" w:cs="宋体"/>
                <w:sz w:val="24"/>
              </w:rPr>
            </w:pPr>
          </w:p>
        </w:tc>
      </w:tr>
    </w:tbl>
    <w:p>
      <w:pPr>
        <w:pStyle w:val="2"/>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ranklin Gothic Book">
    <w:panose1 w:val="020B0503020102020204"/>
    <w:charset w:val="00"/>
    <w:family w:val="swiss"/>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DejaVu Sans">
    <w:altName w:val="Times New Roman"/>
    <w:panose1 w:val="02020603050405020304"/>
    <w:charset w:val="00"/>
    <w:family w:val="roman"/>
    <w:pitch w:val="default"/>
    <w:sig w:usb0="00000000" w:usb1="00000000" w:usb2="00000008" w:usb3="00000000" w:csb0="000001FF" w:csb1="00000000"/>
  </w:font>
  <w:font w:name="方正黑体_GBK">
    <w:altName w:val="微软雅黑"/>
    <w:panose1 w:val="02000000000000000000"/>
    <w:charset w:val="00"/>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E3130"/>
    <w:multiLevelType w:val="multilevel"/>
    <w:tmpl w:val="4F3E3130"/>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2307220"/>
    <w:multiLevelType w:val="multilevel"/>
    <w:tmpl w:val="62307220"/>
    <w:lvl w:ilvl="0" w:tentative="0">
      <w:start w:val="1"/>
      <w:numFmt w:val="decimal"/>
      <w:pStyle w:val="3"/>
      <w:lvlText w:val="%1."/>
      <w:lvlJc w:val="left"/>
      <w:pPr>
        <w:ind w:left="432" w:leftChars="0" w:hanging="432" w:firstLineChars="0"/>
      </w:pPr>
      <w:rPr>
        <w:rFonts w:hint="default"/>
      </w:rPr>
    </w:lvl>
    <w:lvl w:ilvl="1" w:tentative="0">
      <w:start w:val="1"/>
      <w:numFmt w:val="decimal"/>
      <w:pStyle w:val="4"/>
      <w:lvlText w:val="%1.%2."/>
      <w:lvlJc w:val="left"/>
      <w:pPr>
        <w:ind w:left="575" w:leftChars="0" w:hanging="575" w:firstLineChars="0"/>
      </w:pPr>
      <w:rPr>
        <w:rFonts w:hint="default"/>
      </w:rPr>
    </w:lvl>
    <w:lvl w:ilvl="2" w:tentative="0">
      <w:start w:val="1"/>
      <w:numFmt w:val="decimal"/>
      <w:pStyle w:val="5"/>
      <w:lvlText w:val="%1.%2.%3."/>
      <w:lvlJc w:val="left"/>
      <w:pPr>
        <w:ind w:left="720" w:leftChars="0" w:hanging="720" w:firstLineChars="0"/>
      </w:pPr>
      <w:rPr>
        <w:rFonts w:hint="default"/>
      </w:rPr>
    </w:lvl>
    <w:lvl w:ilvl="3" w:tentative="0">
      <w:start w:val="1"/>
      <w:numFmt w:val="decimal"/>
      <w:pStyle w:val="6"/>
      <w:lvlText w:val="%1.%2.%3.%4."/>
      <w:lvlJc w:val="left"/>
      <w:pPr>
        <w:ind w:left="864" w:leftChars="0" w:hanging="864" w:firstLineChars="0"/>
      </w:pPr>
      <w:rPr>
        <w:rFonts w:hint="default"/>
      </w:rPr>
    </w:lvl>
    <w:lvl w:ilvl="4" w:tentative="0">
      <w:start w:val="1"/>
      <w:numFmt w:val="decimal"/>
      <w:lvlText w:val="%1.%2.%3.%4.%5."/>
      <w:lvlJc w:val="left"/>
      <w:pPr>
        <w:ind w:left="1008" w:leftChars="0" w:hanging="1008" w:firstLineChars="0"/>
      </w:pPr>
      <w:rPr>
        <w:rFonts w:hint="default"/>
      </w:rPr>
    </w:lvl>
    <w:lvl w:ilvl="5" w:tentative="0">
      <w:start w:val="1"/>
      <w:numFmt w:val="decimal"/>
      <w:lvlText w:val="%1.%2.%3.%4.%5.%6."/>
      <w:lvlJc w:val="left"/>
      <w:pPr>
        <w:ind w:left="1151" w:leftChars="0" w:hanging="1151" w:firstLineChars="0"/>
      </w:pPr>
      <w:rPr>
        <w:rFonts w:hint="default"/>
      </w:rPr>
    </w:lvl>
    <w:lvl w:ilvl="6" w:tentative="0">
      <w:start w:val="1"/>
      <w:numFmt w:val="decimal"/>
      <w:lvlText w:val="%1.%2.%3.%4.%5.%6.%7."/>
      <w:lvlJc w:val="left"/>
      <w:pPr>
        <w:ind w:left="1296" w:leftChars="0" w:hanging="1296" w:firstLineChars="0"/>
      </w:pPr>
      <w:rPr>
        <w:rFonts w:hint="default"/>
      </w:rPr>
    </w:lvl>
    <w:lvl w:ilvl="7" w:tentative="0">
      <w:start w:val="1"/>
      <w:numFmt w:val="decimal"/>
      <w:lvlText w:val="%1.%2.%3.%4.%5.%6.%7.%8."/>
      <w:lvlJc w:val="left"/>
      <w:pPr>
        <w:ind w:left="1440" w:leftChars="0" w:hanging="1440" w:firstLineChars="0"/>
      </w:pPr>
      <w:rPr>
        <w:rFonts w:hint="default"/>
      </w:rPr>
    </w:lvl>
    <w:lvl w:ilvl="8" w:tentative="0">
      <w:start w:val="1"/>
      <w:numFmt w:val="decimal"/>
      <w:lvlText w:val="%1.%2.%3.%4.%5.%6.%7.%8.%9."/>
      <w:lvlJc w:val="left"/>
      <w:pPr>
        <w:ind w:left="1583" w:leftChars="0" w:hanging="1583"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14652"/>
    <w:rsid w:val="06277916"/>
    <w:rsid w:val="39D856C7"/>
    <w:rsid w:val="4FA14652"/>
    <w:rsid w:val="5C734107"/>
    <w:rsid w:val="687B6966"/>
    <w:rsid w:val="DFFAEB31"/>
    <w:rsid w:val="FBDF0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numPr>
        <w:ilvl w:val="0"/>
        <w:numId w:val="1"/>
      </w:numPr>
      <w:spacing w:before="120" w:after="0"/>
      <w:outlineLvl w:val="0"/>
    </w:pPr>
    <w:rPr>
      <w:rFonts w:ascii="Franklin Gothic Book" w:hAnsi="Franklin Gothic Book" w:eastAsia="幼圆"/>
      <w:b/>
      <w:bCs/>
      <w:color w:val="953210"/>
      <w:sz w:val="28"/>
      <w:szCs w:val="28"/>
    </w:rPr>
  </w:style>
  <w:style w:type="paragraph" w:styleId="4">
    <w:name w:val="heading 2"/>
    <w:basedOn w:val="1"/>
    <w:next w:val="1"/>
    <w:unhideWhenUsed/>
    <w:qFormat/>
    <w:uiPriority w:val="0"/>
    <w:pPr>
      <w:keepNext/>
      <w:keepLines/>
      <w:numPr>
        <w:ilvl w:val="1"/>
        <w:numId w:val="1"/>
      </w:numPr>
      <w:spacing w:before="20" w:beforeLines="0" w:beforeAutospacing="0" w:after="20" w:afterLines="0" w:afterAutospacing="0" w:line="413" w:lineRule="auto"/>
      <w:ind w:left="575" w:hanging="575"/>
      <w:outlineLvl w:val="1"/>
    </w:pPr>
    <w:rPr>
      <w:rFonts w:ascii="DejaVu Sans" w:hAnsi="DejaVu Sans" w:eastAsia="宋体"/>
      <w:b/>
      <w:sz w:val="24"/>
    </w:rPr>
  </w:style>
  <w:style w:type="paragraph" w:styleId="5">
    <w:name w:val="heading 3"/>
    <w:basedOn w:val="1"/>
    <w:next w:val="1"/>
    <w:unhideWhenUsed/>
    <w:qFormat/>
    <w:uiPriority w:val="0"/>
    <w:pPr>
      <w:keepNext/>
      <w:keepLines/>
      <w:numPr>
        <w:ilvl w:val="2"/>
        <w:numId w:val="1"/>
      </w:numPr>
      <w:spacing w:before="140" w:beforeLines="0" w:beforeAutospacing="0" w:after="140" w:afterLines="0" w:afterAutospacing="0" w:line="413" w:lineRule="auto"/>
      <w:ind w:left="720" w:hanging="720"/>
      <w:outlineLvl w:val="2"/>
    </w:pPr>
    <w:rPr>
      <w:rFonts w:eastAsia="宋体"/>
      <w:b/>
      <w:sz w:val="24"/>
    </w:rPr>
  </w:style>
  <w:style w:type="paragraph" w:styleId="6">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DejaVu Sans" w:hAnsi="DejaVu Sans" w:eastAsia="方正黑体_GBK"/>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7">
    <w:name w:val="annotation text"/>
    <w:basedOn w:val="1"/>
    <w:qFormat/>
    <w:uiPriority w:val="0"/>
    <w:pPr>
      <w:jc w:val="left"/>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rFonts w:ascii="等线" w:hAnsi="等线" w:eastAsia="宋体"/>
      <w:b/>
      <w:sz w:val="24"/>
    </w:rPr>
  </w:style>
  <w:style w:type="character" w:customStyle="1" w:styleId="12">
    <w:name w:val="font31"/>
    <w:basedOn w:val="10"/>
    <w:qFormat/>
    <w:uiPriority w:val="0"/>
    <w:rPr>
      <w:rFonts w:hint="eastAsia" w:ascii="宋体" w:hAnsi="宋体" w:eastAsia="宋体" w:cs="宋体"/>
      <w:color w:val="000000"/>
      <w:sz w:val="24"/>
      <w:szCs w:val="24"/>
      <w:u w:val="none"/>
    </w:rPr>
  </w:style>
  <w:style w:type="paragraph" w:customStyle="1" w:styleId="13">
    <w:name w:val="List Paragraph"/>
    <w:basedOn w:val="1"/>
    <w:qFormat/>
    <w:uiPriority w:val="34"/>
    <w:pPr>
      <w:widowControl/>
      <w:ind w:firstLine="420" w:firstLineChars="200"/>
      <w:jc w:val="left"/>
    </w:pPr>
    <w:rPr>
      <w:rFonts w:ascii="Arial" w:hAnsi="Arial" w:cs="Arial"/>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8069</Words>
  <Characters>8536</Characters>
  <Lines>0</Lines>
  <Paragraphs>0</Paragraphs>
  <TotalTime>19</TotalTime>
  <ScaleCrop>false</ScaleCrop>
  <LinksUpToDate>false</LinksUpToDate>
  <CharactersWithSpaces>8699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2022-03-30T23:34:00Z</dcterms:created>
  <dc:creator>Eric</dc:creator>
  <cp:lastModifiedBy>Eric</cp:lastModifiedBy>
  <cp:lastPrinted>2022-04-06T03:35:53Z</cp:lastPrinted>
  <dcterms:modified xsi:type="dcterms:W3CDTF">2022-04-06T03:43:34Z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F2FA7D0B947347B7ADC609E688D664DD</vt:lpwstr>
  </property>
</Properties>
</file>