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0"/>
        <w:gridCol w:w="1785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bottom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投保方案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保险范围: 鼓楼区乌山防空洞景区及景区周边归属被保险人管辖的范围（北至道山路与通湖路交叉口周边，南至乌山防空洞出口周边，含大巴临时停靠点）。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全年保费上限为5万元，报价超过上限则视为无效报价。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赔偿限额：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累计赔偿限额：RMB 5000万元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每次事故赔偿限额：RMB 1000万元（单次群体性事件）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每次事故每人人身赔偿限额：RMB 100万元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每次事故每人财产损失赔偿限额：RMB 5万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5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报价总计（含税）：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ZGJhZTYwMTIxMDNiM2ZhNTAzMGIxYzA3MmM0MjAifQ=="/>
  </w:docVars>
  <w:rsids>
    <w:rsidRoot w:val="00000000"/>
    <w:rsid w:val="312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2023-06-21T03:54:03Z</dcterms:created>
  <dc:creator>hp</dc:creator>
  <cp:lastModifiedBy> 糯米鲤鱼</cp:lastModifiedBy>
  <dcterms:modified xsi:type="dcterms:W3CDTF">2023-06-21T03:54:54Z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EF2AFDCB50284548B85AB7B6A4870803_12</vt:lpwstr>
  </property>
</Properties>
</file>