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" w:hAnsi="仿宋" w:eastAsia="仿宋" w:cs="仿宋"/>
          <w:sz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</w:t>
      </w:r>
      <w:r>
        <w:rPr>
          <w:rFonts w:hint="eastAsia" w:ascii="黑体" w:hAnsi="黑体" w:eastAsia="黑体" w:cs="黑体"/>
          <w:sz w:val="32"/>
          <w:szCs w:val="32"/>
        </w:rPr>
        <w:t>表</w:t>
      </w:r>
      <w:bookmarkEnd w:id="0"/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3"/>
        <w:tblpPr w:leftFromText="180" w:rightFromText="180" w:vertAnchor="text" w:horzAnchor="page" w:tblpX="1481" w:tblpY="243"/>
        <w:tblW w:w="9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779"/>
        <w:gridCol w:w="5732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公司资质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提供公司基础资质材料的完整性，其中①公司营业执照，②法人代表身份证复印件，③具备履行合同所需的设备和专业技术能力的书面声明，④无重大违法记录书面声明，⑤"信用中国"网站（ www.creditchina.gov.cn ）、及中国政府采购网（www.ccgp.gov.cn）查询信用信息查询结果原始页面的打印件或完整截图，若合作方提供的材料不符合招商文件要求，则视为无效方案。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公司营业范围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（10分）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提供的公司营业范围涵盖具有集贸市场管理服务、文艺创作、组织文化艺术交流活动、市场营销策划、物业管理的可得10分，其中“集贸市场管理服务”项优先得分，不包含者不得分。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运营方案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（40分）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是否包含杭肆品牌市集合作项目运营方案，联合经营单位提供项目三年运营计划，包含市集活动、线上营销、品牌设计、场地规划等，由评比小组从方案合作合理性、内容创意性等方面进行横向比较，优秀得40分、一般得20分，差得10分，未提供本项的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" w:hAnsi="仿宋" w:eastAsia="仿宋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val="en-US" w:eastAsia="zh-CN"/>
              </w:rPr>
              <w:t>运营案例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Hans" w:bidi="ar-SA"/>
              </w:rPr>
              <w:t>方案中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需体现营销项目经验及成品案例，重点案例需展开分享，及其他能够展现公司/团队实力的案例及资源。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优秀得15分、一般得8分，差得5分，未提供本项的不得分。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团队配置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（15分）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方案中需包含团队介绍并提供团队团队配置，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优秀得15分、一般得8分，差得5分，未提供本项的不得分。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项目保证金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方案中是否明确保证金不低于3万元，保证金达到3万元的方案得5分，低于3万元的方案不得分。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项目营收保底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方案中是否明确项目首年营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不低于61万元/年，第二年、第三年营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收各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不低于65万元/年的方案，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最多得10分、一般得5分，差得2分，未提供本项的不得分、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低于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以上营业额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的方案不得分。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总分（100分）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instrText xml:space="preserve"> = sum(B2:B8) \* MERGEFORMAT </w:instrTex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</w:tr>
    </w:tbl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193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2023-06-27T09:43:55Z</dcterms:created>
  <dc:creator>KNOXCHAN</dc:creator>
  <cp:lastModifiedBy>knox</cp:lastModifiedBy>
  <dcterms:modified xsi:type="dcterms:W3CDTF">2023-06-27T09:44:25Z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30AD18CAF292424A9FE20DDBA900F99F_12</vt:lpwstr>
  </property>
</Properties>
</file>