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9"/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9"/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纪念严复诞辰170周年系列展览</w:t>
      </w:r>
    </w:p>
    <w:p>
      <w:pPr>
        <w:pStyle w:val="2"/>
        <w:jc w:val="center"/>
        <w:rPr>
          <w:rStyle w:val="9"/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Style w:val="9"/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《先生回家——严复与近代中国名人特展》</w:t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color w:val="auto"/>
          <w:lang w:val="en-US"/>
        </w:rPr>
      </w:pPr>
      <w:r>
        <w:rPr>
          <w:rStyle w:val="9"/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系列活动项目报价单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619"/>
        <w:gridCol w:w="1351"/>
        <w:gridCol w:w="3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价格（万元）</w:t>
            </w: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展陈大纲编制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  <w:t>根据展厅主题和展示目的，有节奏有逻辑的列出展示脉络，梳理展陈大纲，划分内容板块，条理清晰的向观众传达有效信息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基础装修费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2.1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装饰工程费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展区范围内的地面、墙面、天棚、门窗等内部装饰工程费用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2.2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安装工程费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展区范围内与陈列展览有关的水电安装和弱电智能化工程等费用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陈列布展费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3.1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设备购置、制作及安装费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展览设备（展柜、展台、展架）、展示说明牌、展板及平面制作（立体字、广告灯箱、平面立体化等）等购置、制作、及安装费用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3.2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辅助展品制作费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场景、模型、雕塑、绘画等辅助展品的艺术创作与制作费用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专业灯光购置费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为保护展品不受损害而购置的专业光源及灯具等发生的购置费用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多媒体系统工程费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采用多媒体技术手段，为实现展陈效果而产生的费用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5.1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硬件费用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5.2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影像制作费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开幕式费用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举行展览相关配套活动产生的费用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6.1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氛围布置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包括主视觉设计、音响系统、背景桁架、宣传展板等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6.2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周边物料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包括宣传品、会务材料、横幅、伴手礼等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6.3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人员费用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包括主持人、工作人员、安保人员等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6.4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宣传费用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包括现场摄影摄像、视频后期制作、媒体费用等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7.1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建设单位管理费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7.2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设计费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zh-Han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85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7.3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街区美术费设计施工费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以“严复”为主题创意设计，在南后街完成一处永久性美陈装置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4" w:type="dxa"/>
            <w:gridSpan w:val="2"/>
            <w:noWrap w:val="0"/>
            <w:vAlign w:val="top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4918" w:type="dxa"/>
            <w:gridSpan w:val="2"/>
            <w:noWrap w:val="0"/>
            <w:vAlign w:val="center"/>
          </w:tcPr>
          <w:p>
            <w:pPr>
              <w:pStyle w:val="10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纪念严复诞辰170周年系列展览《先生回家——严复与近代中国名人特展》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系列活动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项目评分表</w:t>
      </w:r>
    </w:p>
    <w:tbl>
      <w:tblPr>
        <w:tblStyle w:val="4"/>
        <w:tblpPr w:leftFromText="180" w:rightFromText="180" w:vertAnchor="text" w:horzAnchor="page" w:tblpX="1897" w:tblpY="330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97"/>
        <w:gridCol w:w="4934"/>
        <w:gridCol w:w="1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展陈方案整体策划是否符合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纪念严复诞辰170周年系列展览《先生回家——严复与近代中国名人特展》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系列活动布展要求，动线合理、活动易操控性强、方案最优者得20分，以此类推，每降低一名减5分。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布展效果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布展效果是否符合主题、体现展品特点，方案最优者得20分，以此类推，每降低一名减5分。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文创能力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方案中是否能提供过去的文化创意产品设计案例，案例最多者5分，以此类推，每降低一名减5分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展品提供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方案中是否能提供三坊七巷名人传世作品和相关文物，数量最多者20分，以此类推，每降低一名减5分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方案中价格最低者得满分，以此类推，每降低一名减</w:t>
            </w: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分。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案例展示</w:t>
            </w:r>
          </w:p>
        </w:tc>
        <w:tc>
          <w:tcPr>
            <w:tcW w:w="2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之前的展陈布置案例图片展示，方案最优者10分，以此类推，每降低一名减2分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8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2A626681"/>
    <w:rsid w:val="14FA17C3"/>
    <w:rsid w:val="27FF31D2"/>
    <w:rsid w:val="2A626681"/>
    <w:rsid w:val="33CC7F88"/>
    <w:rsid w:val="44E27B04"/>
    <w:rsid w:val="46191654"/>
    <w:rsid w:val="5B8B43BF"/>
    <w:rsid w:val="632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99"/>
  </w:style>
  <w:style w:type="paragraph" w:customStyle="1" w:styleId="10">
    <w:name w:val="正文1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2023-12-06T03:19:00Z</dcterms:created>
  <dc:creator>user</dc:creator>
  <cp:lastModifiedBy>L</cp:lastModifiedBy>
  <dcterms:modified xsi:type="dcterms:W3CDTF">2023-12-26T07:41:57Z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66BDBADC08434BFFA698655C9D39BFD8_13</vt:lpwstr>
  </property>
</Properties>
</file>