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Fonts w:hint="eastAsia" w:ascii="华文细黑" w:hAnsi="华文细黑" w:eastAsia="仿宋" w:cs="华文细黑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</w:p>
    <w:p>
      <w:pPr>
        <w:pStyle w:val="9"/>
        <w:jc w:val="center"/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福州市坊巷建筑工程有限公司2024-2025</w:t>
      </w:r>
      <w:r>
        <w:rPr>
          <w:rFonts w:hint="default" w:ascii="华文细黑" w:hAnsi="华文细黑" w:cs="华文细黑"/>
          <w:b/>
          <w:bCs/>
          <w:sz w:val="32"/>
          <w:szCs w:val="32"/>
          <w:lang w:val="en-US"/>
        </w:rPr>
        <w:t>建筑施工人员团体意外伤害保险和建筑工程一切险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报价单</w:t>
      </w:r>
    </w:p>
    <w:p>
      <w:pPr>
        <w:rPr>
          <w:rFonts w:ascii="宋体" w:hAnsi="宋体" w:cs="宋体"/>
          <w:szCs w:val="21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投保险别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 w:cs="宋体"/>
          <w:sz w:val="30"/>
          <w:szCs w:val="30"/>
        </w:rPr>
      </w:pPr>
    </w:p>
    <w:p>
      <w:pPr>
        <w:tabs>
          <w:tab w:val="left" w:pos="5953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ab/>
      </w:r>
      <w:r>
        <w:rPr>
          <w:rFonts w:hint="eastAsia" w:ascii="宋体" w:hAnsi="宋体" w:cs="宋体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ab/>
      </w:r>
      <w:r>
        <w:rPr>
          <w:rFonts w:hint="eastAsia" w:ascii="宋体" w:hAnsi="宋体" w:cs="宋体"/>
          <w:sz w:val="30"/>
          <w:szCs w:val="30"/>
        </w:rPr>
        <w:t xml:space="preserve">  年   月   日</w:t>
      </w:r>
    </w:p>
    <w:p>
      <w:pPr>
        <w:rPr>
          <w:rFonts w:ascii="宋体" w:hAnsi="宋体" w:cs="宋体"/>
          <w:sz w:val="30"/>
          <w:szCs w:val="30"/>
        </w:rPr>
      </w:pP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备注</w:t>
      </w:r>
      <w:r>
        <w:rPr>
          <w:rFonts w:hint="eastAsia" w:ascii="宋体" w:hAnsi="宋体" w:cs="宋体"/>
          <w:sz w:val="30"/>
          <w:szCs w:val="30"/>
          <w:lang w:eastAsia="zh-CN"/>
        </w:rPr>
        <w:t>一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宋体" w:hAnsi="宋体" w:cs="宋体"/>
          <w:sz w:val="30"/>
          <w:szCs w:val="30"/>
          <w:lang w:eastAsia="zh-CN"/>
        </w:rPr>
        <w:t>建筑施工人员团体意外伤害保险</w:t>
      </w:r>
    </w:p>
    <w:p>
      <w:pPr>
        <w:spacing w:line="46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1、预计年度工程造价：RMB2亿元；保障内容：死亡伤残保额：RMB100万元/人；医疗费用保额：RMB10万元/人。</w:t>
      </w:r>
    </w:p>
    <w:p>
      <w:pPr>
        <w:pStyle w:val="14"/>
        <w:numPr>
          <w:ilvl w:val="0"/>
          <w:numId w:val="0"/>
        </w:numPr>
        <w:spacing w:line="220" w:lineRule="auto"/>
        <w:ind w:firstLine="600" w:firstLineChars="2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sz w:val="30"/>
          <w:szCs w:val="30"/>
        </w:rPr>
        <w:t>2、合计一栏为一年期保费总价，不高于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39</w:t>
      </w:r>
      <w:r>
        <w:rPr>
          <w:rFonts w:hint="eastAsia" w:ascii="宋体" w:hAnsi="宋体" w:cs="宋体"/>
          <w:sz w:val="30"/>
          <w:szCs w:val="30"/>
        </w:rPr>
        <w:t>万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元；最低投标价者经评委评审并推荐中标候选人。</w:t>
      </w:r>
    </w:p>
    <w:p>
      <w:pPr>
        <w:pStyle w:val="14"/>
        <w:numPr>
          <w:ilvl w:val="0"/>
          <w:numId w:val="0"/>
        </w:numPr>
        <w:spacing w:line="22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3、在保险合同保险期间内，保险人依照主险合同约定应承担意  外残疾保险金给付责任的，对应残疾程度鉴定标准以《劳动能力鉴定 职工工伤与职业病致残等级》（GB/T 16180-2014）中所列标准一致。</w:t>
      </w:r>
    </w:p>
    <w:p>
      <w:pPr>
        <w:spacing w:line="46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sz w:val="30"/>
          <w:szCs w:val="30"/>
        </w:rPr>
        <w:t>、表格中所列项目可自行增减，如有额外赠送险种，请在表格中列明。</w:t>
      </w:r>
    </w:p>
    <w:p>
      <w:pPr>
        <w:spacing w:line="46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sz w:val="30"/>
          <w:szCs w:val="30"/>
        </w:rPr>
        <w:t>、投保单位填好报价单后，请盖章密封（密封处需盖章签字），开标时按照相关规定现场开封；提前开封或现场查验报价单已被开封过则视为无效报价单。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>、投标单位代表需在开标现场对投保方案进行解释。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备注</w:t>
      </w:r>
      <w:r>
        <w:rPr>
          <w:rFonts w:hint="eastAsia" w:ascii="宋体" w:hAnsi="宋体"/>
          <w:sz w:val="30"/>
          <w:szCs w:val="30"/>
          <w:lang w:eastAsia="zh-CN"/>
        </w:rPr>
        <w:t>二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eastAsia="zh-CN"/>
        </w:rPr>
        <w:t>建筑工程一切险</w:t>
      </w:r>
    </w:p>
    <w:p>
      <w:pPr>
        <w:numPr>
          <w:ilvl w:val="0"/>
          <w:numId w:val="1"/>
        </w:num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物质损失部分：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（1）物质损失保险金额： RMB 2亿元。预计工程造价：   RMB 2亿万元；该造价金额为年度预估金额，待整个保单年度完成后，根据该年度实际签署的施工合同确定保险金额。保险人同意以上预估合同造价作为保险金额且视同足额投保，发生保险事故后无论部分损失或全损不再进行比例赔付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（2）清理费用：RMB800万元。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（3）特种风险赔偿限额，总保险金额的80%(特种风险指地震、海啸、暴风、台风、暴雨、洪水)。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2、第三者责任部分：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累计赔偿限额：RMB2000万元；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每次事故赔偿限额：RMB1000万元；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其中：人员伤亡每人每次事故赔偿限额：RMB150万</w:t>
      </w:r>
    </w:p>
    <w:p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元。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注：以上“事故”是指每一次事故或由同一原因/同一事件引起的一系列事故。</w:t>
      </w:r>
    </w:p>
    <w:p>
      <w:pPr>
        <w:spacing w:line="460" w:lineRule="exact"/>
        <w:ind w:firstLine="600" w:firstLineChars="2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/>
          <w:sz w:val="30"/>
          <w:szCs w:val="30"/>
        </w:rPr>
        <w:t>3、合计一栏为一年期保费总价，不高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于10万元；最低投标价者经评委评审并推荐中标候选人。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4、表格中所列项目可自行增减，如有额外赠送险种，请在表格中列明。</w:t>
      </w:r>
    </w:p>
    <w:p>
      <w:pPr>
        <w:spacing w:line="4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5、投保单位填好报价单后，请盖章密封（密封处需盖章签字），开标时按照相关规定现场开封；提前开封或现场查验报价单已被开封过则视为无效报价单。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6、投标单位代表需在开标现场对投保方案进行解释。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00000000"/>
    <w:rsid w:val="078017DE"/>
    <w:rsid w:val="08A234FA"/>
    <w:rsid w:val="4DBB050B"/>
    <w:rsid w:val="4EE46BE8"/>
    <w:rsid w:val="577E2A08"/>
    <w:rsid w:val="6C5C6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正文1"/>
    <w:basedOn w:val="1"/>
    <w:autoRedefine/>
    <w:qFormat/>
    <w:uiPriority w:val="0"/>
    <w:pPr>
      <w:widowControl/>
    </w:pPr>
    <w:rPr>
      <w:szCs w:val="21"/>
    </w:rPr>
  </w:style>
  <w:style w:type="character" w:customStyle="1" w:styleId="10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正文2"/>
    <w:autoRedefine/>
    <w:qFormat/>
    <w:uiPriority w:val="0"/>
    <w:pPr>
      <w:jc w:val="both"/>
    </w:pPr>
    <w:rPr>
      <w:rFonts w:ascii="仿宋" w:hAnsi="仿宋" w:eastAsia="宋体" w:cs="宋体"/>
      <w:kern w:val="2"/>
      <w:sz w:val="21"/>
      <w:szCs w:val="21"/>
      <w:lang w:val="en-US" w:eastAsia="zh-CN" w:bidi="ar-SA"/>
    </w:rPr>
  </w:style>
  <w:style w:type="paragraph" w:customStyle="1" w:styleId="13">
    <w:name w:val="正文21"/>
    <w:basedOn w:val="1"/>
    <w:autoRedefine/>
    <w:qFormat/>
    <w:uiPriority w:val="0"/>
    <w:pPr>
      <w:widowControl/>
    </w:pPr>
    <w:rPr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3291</Words>
  <Characters>3568</Characters>
  <Paragraphs>131</Paragraphs>
  <TotalTime>7</TotalTime>
  <ScaleCrop>false</ScaleCrop>
  <LinksUpToDate>false</LinksUpToDate>
  <CharactersWithSpaces>3595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2023-12-29T02:49:00Z</dcterms:created>
  <dc:creator>赵琼</dc:creator>
  <cp:lastModifiedBy>L</cp:lastModifiedBy>
  <cp:lastPrinted>2024-01-11T02:07:00Z</cp:lastPrinted>
  <dcterms:modified xsi:type="dcterms:W3CDTF">2024-01-15T06:50:52Z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D38236E90BBE42FCBA2AA81018B6106C_13</vt:lpwstr>
  </property>
</Properties>
</file>