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79" w:tblpY="1285"/>
        <w:tblW w:w="82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00"/>
        <w:gridCol w:w="5334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三坊七巷品牌文化专刊（CN刊物）出版服务项目评分表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刊物质量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书稿是否规范、印刷纸质是否厚实、图片文字是否清晰、色彩是否鲜明、烫金工艺是否优质等，最优者得20分，以此类推，每降低一名减5分。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刊物设计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项目方案策划是否合理、刊物版面设计是否满足项目需求、设计风格是否符合品牌文化，方案最优者得20分，以此类推，每降低一名减5分。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是否有送书上门、破损调换等售后服务，最优者得15分，以此类推，每降低一名减5分。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刊物授权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是否获得</w:t>
            </w:r>
            <w:r>
              <w:rPr>
                <w:rFonts w:hint="eastAsia" w:ascii="仿宋" w:hAnsi="仿宋" w:eastAsia="仿宋" w:cs="宋体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省级品牌研究会主办的与品牌相关的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（CN-Q）杂志专刊合作授权，有授权者得10分，没有则0分。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以往出版刊物案例，每个案例5分，最高不超过10分。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发行经历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color w:val="auto"/>
                <w:kern w:val="0"/>
                <w:sz w:val="22"/>
                <w:szCs w:val="22"/>
                <w:lang w:val="en-US" w:eastAsia="zh-CN" w:bidi="ar"/>
              </w:rPr>
              <w:t>是否具有面向海外发行的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CN-Q刊物《出版许可证》及国外知名大学图书馆收藏经历，经历最多者得10分，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以此类推，每降低一名减5分。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评分人确认：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56D64417"/>
    <w:rsid w:val="06B92E5F"/>
    <w:rsid w:val="56D64417"/>
    <w:rsid w:val="7D9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2024-06-12T10:05:00Z</dcterms:created>
  <dc:creator>梁丽琴</dc:creator>
  <cp:lastModifiedBy>梁丽琴</cp:lastModifiedBy>
  <dcterms:modified xsi:type="dcterms:W3CDTF">2024-06-12T10:06:41Z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4B12D1C5061B420BB935BE3E3848BE75_11</vt:lpwstr>
  </property>
</Properties>
</file>