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2003" w:tblpY="1285"/>
        <w:tblW w:w="8030" w:type="dxa"/>
        <w:tblInd w:w="0" w:type="dxa"/>
        <w:tblLayout w:type="fixed"/>
        <w:tblCellMar>
          <w:top w:w="0" w:type="dxa"/>
          <w:left w:w="108" w:type="dxa"/>
          <w:bottom w:w="0" w:type="dxa"/>
          <w:right w:w="108" w:type="dxa"/>
        </w:tblCellMar>
      </w:tblPr>
      <w:tblGrid>
        <w:gridCol w:w="712"/>
        <w:gridCol w:w="1763"/>
        <w:gridCol w:w="4331"/>
        <w:gridCol w:w="1224"/>
      </w:tblGrid>
      <w:tr>
        <w:tblPrEx>
          <w:tblCellMar>
            <w:top w:w="0" w:type="dxa"/>
            <w:left w:w="108" w:type="dxa"/>
            <w:bottom w:w="0" w:type="dxa"/>
            <w:right w:w="108" w:type="dxa"/>
          </w:tblCellMar>
        </w:tblPrEx>
        <w:trPr>
          <w:trHeight w:val="715" w:hRule="atLeast"/>
        </w:trPr>
        <w:tc>
          <w:tcPr>
            <w:tcW w:w="803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福州茉莉花茶文化活动物料板块采购项目评分表</w:t>
            </w:r>
          </w:p>
        </w:tc>
      </w:tr>
      <w:tr>
        <w:tblPrEx>
          <w:tblCellMar>
            <w:top w:w="0" w:type="dxa"/>
            <w:left w:w="108" w:type="dxa"/>
            <w:bottom w:w="0" w:type="dxa"/>
            <w:right w:w="108" w:type="dxa"/>
          </w:tblCellMar>
        </w:tblPrEx>
        <w:trPr>
          <w:trHeight w:val="715"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color w:val="auto"/>
                <w:kern w:val="0"/>
                <w:sz w:val="24"/>
                <w:lang w:val="en-US" w:eastAsia="zh-CN"/>
              </w:rPr>
            </w:pPr>
          </w:p>
        </w:tc>
        <w:tc>
          <w:tcPr>
            <w:tcW w:w="17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内容</w:t>
            </w:r>
          </w:p>
        </w:tc>
        <w:tc>
          <w:tcPr>
            <w:tcW w:w="4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详细说明</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分数</w:t>
            </w:r>
          </w:p>
        </w:tc>
      </w:tr>
      <w:tr>
        <w:tblPrEx>
          <w:tblCellMar>
            <w:top w:w="0" w:type="dxa"/>
            <w:left w:w="108" w:type="dxa"/>
            <w:bottom w:w="0" w:type="dxa"/>
            <w:right w:w="108" w:type="dxa"/>
          </w:tblCellMar>
        </w:tblPrEx>
        <w:trPr>
          <w:trHeight w:val="1325"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1</w:t>
            </w:r>
          </w:p>
        </w:tc>
        <w:tc>
          <w:tcPr>
            <w:tcW w:w="176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整体策划</w:t>
            </w:r>
          </w:p>
        </w:tc>
        <w:tc>
          <w:tcPr>
            <w:tcW w:w="433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宋体"/>
                <w:color w:val="auto"/>
                <w:kern w:val="0"/>
                <w:sz w:val="22"/>
                <w:szCs w:val="22"/>
                <w:lang w:val="en-US" w:eastAsia="zh-CN"/>
              </w:rPr>
            </w:pPr>
            <w:r>
              <w:rPr>
                <w:rFonts w:hint="eastAsia" w:ascii="仿宋" w:hAnsi="仿宋" w:eastAsia="仿宋" w:cs="宋体"/>
                <w:color w:val="auto"/>
                <w:kern w:val="0"/>
                <w:sz w:val="22"/>
                <w:szCs w:val="22"/>
                <w:lang w:val="en-US" w:eastAsia="zh-CN"/>
              </w:rPr>
              <w:t>活动方案整体策划是否合理、活动易操控性强、是否结合茉莉花文化等主题形式，</w:t>
            </w:r>
            <w:r>
              <w:rPr>
                <w:rFonts w:hint="eastAsia" w:ascii="仿宋" w:hAnsi="仿宋" w:eastAsia="仿宋" w:cs="宋体"/>
                <w:color w:val="auto"/>
                <w:kern w:val="0"/>
                <w:sz w:val="24"/>
                <w:lang w:val="en-US" w:eastAsia="zh-CN"/>
              </w:rPr>
              <w:t>可根据方案的文化输出效果根据超出预期、达到要求、未达到基本要求在0-30区间内酌情打分。</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30</w:t>
            </w:r>
          </w:p>
        </w:tc>
      </w:tr>
      <w:tr>
        <w:tblPrEx>
          <w:tblCellMar>
            <w:top w:w="0" w:type="dxa"/>
            <w:left w:w="108" w:type="dxa"/>
            <w:bottom w:w="0" w:type="dxa"/>
            <w:right w:w="108" w:type="dxa"/>
          </w:tblCellMar>
        </w:tblPrEx>
        <w:trPr>
          <w:trHeight w:val="668"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2</w:t>
            </w:r>
          </w:p>
        </w:tc>
        <w:tc>
          <w:tcPr>
            <w:tcW w:w="176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auto"/>
                <w:kern w:val="0"/>
                <w:sz w:val="24"/>
                <w:lang w:val="en-US"/>
              </w:rPr>
            </w:pPr>
            <w:r>
              <w:rPr>
                <w:rFonts w:hint="eastAsia" w:ascii="仿宋" w:hAnsi="仿宋" w:eastAsia="仿宋" w:cs="宋体"/>
                <w:color w:val="auto"/>
                <w:kern w:val="0"/>
                <w:sz w:val="24"/>
                <w:lang w:val="en-US" w:eastAsia="zh-CN"/>
              </w:rPr>
              <w:t>方案报价</w:t>
            </w:r>
          </w:p>
        </w:tc>
        <w:tc>
          <w:tcPr>
            <w:tcW w:w="433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仿宋" w:hAnsi="仿宋" w:eastAsia="仿宋" w:cs="宋体"/>
                <w:color w:val="auto"/>
                <w:kern w:val="0"/>
                <w:sz w:val="22"/>
                <w:szCs w:val="22"/>
                <w:lang w:val="en-US"/>
              </w:rPr>
            </w:pPr>
            <w:r>
              <w:rPr>
                <w:rFonts w:hint="eastAsia" w:ascii="仿宋" w:hAnsi="仿宋" w:eastAsia="仿宋" w:cs="宋体"/>
                <w:color w:val="auto"/>
                <w:kern w:val="0"/>
                <w:sz w:val="22"/>
                <w:szCs w:val="22"/>
                <w:lang w:val="en-US" w:eastAsia="zh-CN"/>
              </w:rPr>
              <w:t>方案中价格最低者得满分，以此类推，每降低一名减5分。</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25</w:t>
            </w:r>
          </w:p>
        </w:tc>
      </w:tr>
      <w:tr>
        <w:tblPrEx>
          <w:tblCellMar>
            <w:top w:w="0" w:type="dxa"/>
            <w:left w:w="108" w:type="dxa"/>
            <w:bottom w:w="0" w:type="dxa"/>
            <w:right w:w="108" w:type="dxa"/>
          </w:tblCellMar>
        </w:tblPrEx>
        <w:trPr>
          <w:trHeight w:val="1100"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3</w:t>
            </w:r>
          </w:p>
        </w:tc>
        <w:tc>
          <w:tcPr>
            <w:tcW w:w="176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物料设计</w:t>
            </w:r>
          </w:p>
        </w:tc>
        <w:tc>
          <w:tcPr>
            <w:tcW w:w="433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仿宋" w:hAnsi="仿宋" w:eastAsia="仿宋" w:cs="宋体"/>
                <w:color w:val="auto"/>
                <w:kern w:val="0"/>
                <w:sz w:val="22"/>
                <w:szCs w:val="22"/>
                <w:lang w:val="en-US" w:eastAsia="zh-CN"/>
              </w:rPr>
            </w:pPr>
            <w:r>
              <w:rPr>
                <w:rFonts w:hint="eastAsia" w:ascii="仿宋" w:hAnsi="仿宋" w:eastAsia="仿宋" w:cs="宋体"/>
                <w:color w:val="auto"/>
                <w:kern w:val="0"/>
                <w:sz w:val="22"/>
                <w:szCs w:val="22"/>
                <w:lang w:val="en-US" w:eastAsia="zh-CN"/>
              </w:rPr>
              <w:t>物料设计是否新颖、与主题相符，能否吸引市民游客的眼球，提升活动整体效果。设计方案的创意性、实用性、美观性等方面将作为评分依据，根据超出预期、达到要求、未达到基本要求在0-20区间内酌情打分。</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20</w:t>
            </w:r>
          </w:p>
        </w:tc>
      </w:tr>
      <w:tr>
        <w:tblPrEx>
          <w:tblCellMar>
            <w:top w:w="0" w:type="dxa"/>
            <w:left w:w="108" w:type="dxa"/>
            <w:bottom w:w="0" w:type="dxa"/>
            <w:right w:w="108" w:type="dxa"/>
          </w:tblCellMar>
        </w:tblPrEx>
        <w:trPr>
          <w:trHeight w:val="1100"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4</w:t>
            </w:r>
          </w:p>
        </w:tc>
        <w:tc>
          <w:tcPr>
            <w:tcW w:w="176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安装维护</w:t>
            </w:r>
          </w:p>
          <w:p>
            <w:pPr>
              <w:widowControl/>
              <w:jc w:val="center"/>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响应时间</w:t>
            </w:r>
          </w:p>
        </w:tc>
        <w:tc>
          <w:tcPr>
            <w:tcW w:w="433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宋体"/>
                <w:color w:val="auto"/>
                <w:kern w:val="0"/>
                <w:sz w:val="22"/>
                <w:szCs w:val="22"/>
                <w:lang w:val="en-US" w:eastAsia="zh-CN"/>
              </w:rPr>
            </w:pPr>
            <w:r>
              <w:rPr>
                <w:rFonts w:hint="eastAsia" w:ascii="仿宋" w:hAnsi="仿宋" w:eastAsia="仿宋" w:cs="宋体"/>
                <w:color w:val="auto"/>
                <w:kern w:val="0"/>
                <w:sz w:val="22"/>
                <w:szCs w:val="22"/>
                <w:lang w:val="en-US" w:eastAsia="zh-CN"/>
              </w:rPr>
              <w:t>根据供应商承诺接到采购人要求服务的通知之时起响应时间的快慢情况进行评分：承诺响应时间≤1小时的得满分，1小时＜承诺响应时间≤3小时的10分，3小时＜承诺响应时间≤5小时的得5分，其余不得分。（须提供承诺函并加盖供应商公章，未提供的不得分）</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15</w:t>
            </w:r>
          </w:p>
        </w:tc>
      </w:tr>
      <w:tr>
        <w:tblPrEx>
          <w:tblCellMar>
            <w:top w:w="0" w:type="dxa"/>
            <w:left w:w="108" w:type="dxa"/>
            <w:bottom w:w="0" w:type="dxa"/>
            <w:right w:w="108" w:type="dxa"/>
          </w:tblCellMar>
        </w:tblPrEx>
        <w:trPr>
          <w:trHeight w:val="1100"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5</w:t>
            </w:r>
          </w:p>
        </w:tc>
        <w:tc>
          <w:tcPr>
            <w:tcW w:w="176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rPr>
              <w:t>案例</w:t>
            </w:r>
            <w:r>
              <w:rPr>
                <w:rFonts w:hint="eastAsia" w:ascii="仿宋" w:hAnsi="仿宋" w:eastAsia="仿宋" w:cs="宋体"/>
                <w:color w:val="auto"/>
                <w:kern w:val="0"/>
                <w:sz w:val="24"/>
                <w:lang w:val="en-US" w:eastAsia="zh-CN"/>
              </w:rPr>
              <w:t>展示</w:t>
            </w:r>
          </w:p>
        </w:tc>
        <w:tc>
          <w:tcPr>
            <w:tcW w:w="433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仿宋" w:hAnsi="仿宋" w:eastAsia="仿宋" w:cs="宋体"/>
                <w:color w:val="auto"/>
                <w:kern w:val="0"/>
                <w:sz w:val="22"/>
                <w:szCs w:val="22"/>
                <w:lang w:val="en-US"/>
              </w:rPr>
            </w:pPr>
            <w:r>
              <w:rPr>
                <w:rFonts w:hint="eastAsia" w:ascii="仿宋" w:hAnsi="仿宋" w:eastAsia="仿宋" w:cs="宋体"/>
                <w:color w:val="auto"/>
                <w:kern w:val="0"/>
                <w:sz w:val="22"/>
                <w:szCs w:val="22"/>
              </w:rPr>
              <w:t>方案中是否有</w:t>
            </w:r>
            <w:r>
              <w:rPr>
                <w:rFonts w:hint="eastAsia" w:ascii="仿宋" w:hAnsi="仿宋" w:eastAsia="仿宋" w:cs="宋体"/>
                <w:color w:val="auto"/>
                <w:kern w:val="0"/>
                <w:sz w:val="22"/>
                <w:szCs w:val="22"/>
                <w:lang w:val="en-US" w:eastAsia="zh-CN"/>
              </w:rPr>
              <w:t>以往服务运营案例，每个案例5分，最高不超过10分。</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10</w:t>
            </w:r>
          </w:p>
        </w:tc>
      </w:tr>
      <w:tr>
        <w:tblPrEx>
          <w:tblCellMar>
            <w:top w:w="0" w:type="dxa"/>
            <w:left w:w="108" w:type="dxa"/>
            <w:bottom w:w="0" w:type="dxa"/>
            <w:right w:w="108" w:type="dxa"/>
          </w:tblCellMar>
        </w:tblPrEx>
        <w:trPr>
          <w:trHeight w:val="591" w:hRule="atLeast"/>
        </w:trPr>
        <w:tc>
          <w:tcPr>
            <w:tcW w:w="680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Times New Roman" w:cs="Times New Roman"/>
                <w:color w:val="auto"/>
                <w:kern w:val="0"/>
                <w:sz w:val="24"/>
                <w:szCs w:val="24"/>
                <w:lang w:val="en-US" w:eastAsia="zh-CN" w:bidi="ar-SA"/>
              </w:rPr>
            </w:pPr>
            <w:r>
              <w:rPr>
                <w:rFonts w:hint="eastAsia" w:ascii="宋体" w:hAnsi="宋体" w:cs="宋体"/>
                <w:color w:val="auto"/>
                <w:kern w:val="0"/>
                <w:sz w:val="24"/>
              </w:rPr>
              <w:t>总分</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lang w:val="en-US" w:eastAsia="zh-CN"/>
              </w:rPr>
              <w:t>100</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mMWIwNmJhNWUwZDZmZDRmYTkxZTdlZTg5MzIzMjUifQ=="/>
  </w:docVars>
  <w:rsids>
    <w:rsidRoot w:val="3E790977"/>
    <w:rsid w:val="06B92E5F"/>
    <w:rsid w:val="3E790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2024-07-08T10:28:00Z</dcterms:created>
  <dc:creator>梁丽琴</dc:creator>
  <cp:lastModifiedBy>梁丽琴</cp:lastModifiedBy>
  <dcterms:modified xsi:type="dcterms:W3CDTF">2024-07-08T10:28:58Z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342792B165824116968EFFB8DEFCB4CC_11</vt:lpwstr>
  </property>
</Properties>
</file>