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三坊七巷街区文创纪念币自助售卖项目评分表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方案中是否明确保底营收费用，要求业绩不低于72万元/年，报价最高者得30分，第二名得20分，第三名及以后得10分。无保底营收者不得分。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方案中是否明确我司合作分成比例不低于20%。分成比例最高者得30分，第二名得20分，第三名及以后得10分。无分润比例者不得分。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文创纪念币设计方案、自助售卖设备外观设计方案，设计方案需结合三坊七巷品牌符号，体现坊巷文化和建筑特征。可根据设计方案原创性、款式多样性、图案文化属性、纪念币本体及涂料材质的安全性，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往期案例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方案中需列出投标人往期业绩证明、与其他景区项目合作案例等。每增加一个案例得2分，最高不超过10分。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保障服务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方案中需明确合作方负责合作期间售卖设备维护、售后服务、补货响应速度等内容。补货响应速度小于24小时得10分，24-48小时得5分，48小时以上不得分。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C8A8D-9925-45F8-B571-DE5E5E9E9A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BC248B2"/>
    <w:rsid w:val="12CB0F5C"/>
    <w:rsid w:val="137F7C33"/>
    <w:rsid w:val="19522023"/>
    <w:rsid w:val="1C122F91"/>
    <w:rsid w:val="24CB3382"/>
    <w:rsid w:val="252D298A"/>
    <w:rsid w:val="28C93FEC"/>
    <w:rsid w:val="2E3B5F8A"/>
    <w:rsid w:val="392D0D87"/>
    <w:rsid w:val="456A452D"/>
    <w:rsid w:val="50BB2791"/>
    <w:rsid w:val="55093AC9"/>
    <w:rsid w:val="58423E7C"/>
    <w:rsid w:val="5FBB029F"/>
    <w:rsid w:val="6E7D6218"/>
    <w:rsid w:val="708B1CC1"/>
    <w:rsid w:val="752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3211</Words>
  <Characters>3425</Characters>
  <Paragraphs>140</Paragraphs>
  <TotalTime>0</TotalTime>
  <ScaleCrop>false</ScaleCrop>
  <LinksUpToDate>false</LinksUpToDate>
  <CharactersWithSpaces>3453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2024-05-09T09:57:00Z</cp:lastPrinted>
  <dcterms:modified xsi:type="dcterms:W3CDTF">2024-07-10T01:20:07Z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BF4DD70E35B84484A82A22A4A0EDE173_13</vt:lpwstr>
  </property>
</Properties>
</file>