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附件2：</w:t>
      </w:r>
    </w:p>
    <w:p w14:paraId="2F0A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类</w:t>
      </w:r>
    </w:p>
    <w:p w14:paraId="5274F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品牌合作项目评分表（国潮图书类）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255"/>
        <w:gridCol w:w="1414"/>
      </w:tblGrid>
      <w:tr w14:paraId="64E48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3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C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D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1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18109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B3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8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B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D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31030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A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A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A3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A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20B2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19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F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4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3F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090F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9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5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D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方案中需提供公司资质背景及实力、品牌及公司成员所获行业荣誉等，体现创新思维、执行力等内容，优先考虑福州本土优质品牌。根据品牌影响力、所获行业及市级以上荣誉数量在0-15区间内酌情打分。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8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5614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E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B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F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5373F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B6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7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D2A1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F65E5B-82BF-4973-984A-15DA07F038A9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C264A2-E69E-493D-A1F6-475CD278926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4A83FE0754284113B8FEACDB58FA3616_13</vt:lpwstr>
  </property>
</Properties>
</file>