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3"/>
        <w:gridCol w:w="1320"/>
        <w:gridCol w:w="4560"/>
        <w:gridCol w:w="1905"/>
      </w:tblGrid>
      <w:tr w14:paraId="24DF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8598" w:type="dxa"/>
            <w:gridSpan w:val="4"/>
            <w:tcBorders>
              <w:top w:val="single" w:color="000000" w:sz="4" w:space="0"/>
              <w:left w:val="single" w:color="000000" w:sz="4" w:space="0"/>
              <w:bottom w:val="single" w:color="000000" w:sz="4" w:space="0"/>
              <w:right w:val="single" w:color="000000" w:sz="4" w:space="0"/>
            </w:tcBorders>
            <w:shd w:val="clear"/>
            <w:vAlign w:val="center"/>
          </w:tcPr>
          <w:p w14:paraId="7759502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方正小标宋简体" w:hAnsi="方正小标宋简体" w:eastAsia="方正小标宋简体" w:cs="方正小标宋简体"/>
                <w:b w:val="0"/>
                <w:bCs w:val="0"/>
                <w:sz w:val="44"/>
                <w:szCs w:val="44"/>
                <w:lang w:val="en-US" w:eastAsia="zh-CN"/>
              </w:rPr>
              <w:t>福州名城保护开发有限公司小红书平台推广</w:t>
            </w:r>
            <w:bookmarkStart w:id="0" w:name="_GoBack"/>
            <w:bookmarkEnd w:id="0"/>
            <w:r>
              <w:rPr>
                <w:rFonts w:hint="eastAsia" w:ascii="方正小标宋简体" w:hAnsi="方正小标宋简体" w:eastAsia="方正小标宋简体" w:cs="方正小标宋简体"/>
                <w:b w:val="0"/>
                <w:bCs w:val="0"/>
                <w:sz w:val="44"/>
                <w:szCs w:val="44"/>
                <w:lang w:val="en-US" w:eastAsia="zh-CN"/>
              </w:rPr>
              <w:t>服务项目采购评分表</w:t>
            </w:r>
          </w:p>
        </w:tc>
      </w:tr>
      <w:tr w14:paraId="0C1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AEE07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3EA5B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评分内容</w:t>
            </w:r>
          </w:p>
        </w:tc>
        <w:tc>
          <w:tcPr>
            <w:tcW w:w="45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E4E0B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详细说明</w:t>
            </w:r>
          </w:p>
        </w:tc>
        <w:tc>
          <w:tcPr>
            <w:tcW w:w="19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B3834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分值</w:t>
            </w:r>
          </w:p>
        </w:tc>
      </w:tr>
      <w:tr w14:paraId="3D5E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559E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5C188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45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9F7D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3A7A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0745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3015C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B51F7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品牌直营店运营维护方案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1F0B16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所提供的品牌直营店运营维护方案需包括但不仅限于以下内容：①小红书店铺装修方案；②产品详情设计方案；③后台维护方案；④效果转化方案；由评委进行视方案的合理程度和优劣程度在0-10分横向评分，未提供或内容不完整不得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3C12E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6184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7341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A7D6A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企业号内容运营方案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28BD93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根据供应商所提供的企业号内容运营方案，由评比小组进行视方案的合理程度和优劣程度在0-5分横向评分，未提供不得分。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76EE8E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11AD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5"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9011F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84CF1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博主投放方案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21A0739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采用性价比优先原则，博主投放名单内1.5w粉丝数量以上博主数量越多则性价比越高，满足性价比最高得满分。其他投标方的分数按1.5w以上博主从多到少排序，每次递减5分，依次类推，最后一名得5分。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396833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14:paraId="787D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6AC7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D5C9B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全年曝光量指标</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758FBF9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供应商需提供全年博主笔记目标曝光量承诺函。承诺函中，合作期间全年曝光量≥2000万的满分10分，其他供应商的分数按承诺函中全年曝光量从多到少排序，每次递减4分，依次类推。未提供承诺函的不得分。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5F303D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71D8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F8627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8AD74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小红书平台关键词优化运营方案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13324A6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供应商需提供优化街区相关内容关键词方案，由评比小组以供应商所提供的关键词方案合理程度和优劣程度、与我司所辖街区特色的关联性等方面进行横向比较。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①优化关键词合理性强、与街区特色关联度高的得10分；②关键词优化较具有合理性、与街区特色关联度较高的得5分；③关键词优化合理性一般、与街区特色关联度低的得3分；④未提供的不得分。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418C9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49D4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5"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77B7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16D6F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小红书营销活动方案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3D6F246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需结合我司所辖街区特色提供小红书主题活动方案，其中包含不低于1期的消费活动方案。由评比小组以合作周期内供应商所提供的小红书主题活动方案创意性、与我司所辖街区特色的关联性、方案可行性等方面进行横向比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①活动方案创意性强、条理清晰、与街区特色关联性高、可行性高的得10分；②活动方案具有一定创意性，合理性、可行性较高的得5分；③活动方案条理较为清晰、可行性一般的得3分。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3A9DDF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3BF1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FC15F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B229B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平台舆情管控方案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52D9E7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供应商所提供的针对本项目舆情监测和应急管理、突发情况应对工作方案内容和及时性和实用性等,由评比小组进行横向比较。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①方案内容完整科学，应对措施有针对性，可行度好的得5分；②方案内容相对科学，应对措施有针对性，可行性相对好的得3分；③方案安排未针对性提出应对措施，可行性欠缺的得1分；④未提供的不得分。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0C894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6225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A581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ECB00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邀约达人素材回收服务</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685B681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采用数量优先原则，即邀约达人素材回收的数量最多的得满分。其他供应商的分数按邀约达人素材回收数量从高到低排序，每次递减4分，依次类推，最后一名得2分。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134C6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13B0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7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81CC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842E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小红书运营培训服务</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0CAE64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采用数量优先原则，即小红书运营培训次数最多的得满分。其他供应商的分数按小红书运营培训次数从高到低排序，每次递减5分，依次类推，最后一名得5分。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6432FC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3F04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BDC0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95EF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达人资源未使用可顺延方案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5E84B3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向我司提供固定数量的达人及视频条数可根据线上线下节日节点按需调配使用，若合作周期内未使用完毕，则顺延至第二年使用。供应商需提供该项服务的相关承诺函，提供承诺函得5分，满分为5分，未提供不得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14CECC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65DA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5" w:hRule="atLeast"/>
        </w:trPr>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23C5E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EDB0E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小红书报价方案</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14:paraId="0C665A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采用低价优先原则，即满足招标文件要求且投标价格最低的投标报价得满分。其他投标方的价格分按价格从低到高排序，每次递减5分，依次类推，最后一名得5分。</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18015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14:paraId="75B2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5" w:hRule="atLeast"/>
        </w:trPr>
        <w:tc>
          <w:tcPr>
            <w:tcW w:w="6693" w:type="dxa"/>
            <w:gridSpan w:val="3"/>
            <w:tcBorders>
              <w:top w:val="single" w:color="000000" w:sz="4" w:space="0"/>
              <w:left w:val="single" w:color="000000" w:sz="4" w:space="0"/>
              <w:bottom w:val="single" w:color="000000" w:sz="4" w:space="0"/>
              <w:right w:val="single" w:color="000000" w:sz="4" w:space="0"/>
            </w:tcBorders>
            <w:shd w:val="clear"/>
            <w:vAlign w:val="center"/>
          </w:tcPr>
          <w:p w14:paraId="73B2F6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总计</w:t>
            </w:r>
          </w:p>
        </w:tc>
        <w:tc>
          <w:tcPr>
            <w:tcW w:w="1905" w:type="dxa"/>
            <w:tcBorders>
              <w:top w:val="single" w:color="000000" w:sz="4" w:space="0"/>
              <w:left w:val="single" w:color="000000" w:sz="4" w:space="0"/>
              <w:bottom w:val="single" w:color="000000" w:sz="4" w:space="0"/>
              <w:right w:val="single" w:color="000000" w:sz="4" w:space="0"/>
            </w:tcBorders>
            <w:shd w:val="clear"/>
            <w:vAlign w:val="center"/>
          </w:tcPr>
          <w:p w14:paraId="59671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r>
    </w:tbl>
    <w:p w14:paraId="2F205E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1" w:fontKey="{CAF82EE2-DAF3-4D60-A97F-F5D6091BD51C}"/>
  </w:font>
  <w:font w:name="方正小标宋简体">
    <w:panose1 w:val="02000000000000000000"/>
    <w:charset w:val="86"/>
    <w:family w:val="auto"/>
    <w:pitch w:val="default"/>
    <w:sig w:usb0="00000001" w:usb1="08000000" w:usb2="00000000" w:usb3="00000000" w:csb0="00040000" w:csb1="00000000"/>
    <w:embedRegular r:id="rId2" w:fontKey="{63F78A24-4A7E-4BDC-98D2-E4BD91A71F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67E21"/>
    <w:rsid w:val="30EE4C54"/>
    <w:rsid w:val="5236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 w:hAnsi="仿宋" w:eastAsia="仿宋" w:cs="仿宋"/>
      <w:color w:val="000000"/>
      <w:sz w:val="72"/>
      <w:szCs w:val="72"/>
      <w:u w:val="none"/>
    </w:rPr>
  </w:style>
  <w:style w:type="character" w:customStyle="1" w:styleId="5">
    <w:name w:val="font41"/>
    <w:basedOn w:val="3"/>
    <w:uiPriority w:val="0"/>
    <w:rPr>
      <w:rFonts w:hint="eastAsia" w:ascii="仿宋" w:hAnsi="仿宋" w:eastAsia="仿宋" w:cs="仿宋"/>
      <w:color w:val="FF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2</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2024-11-14T10:07:00Z</dcterms:created>
  <dc:creator>K</dc:creator>
  <cp:lastModifiedBy>K</cp:lastModifiedBy>
  <dcterms:modified xsi:type="dcterms:W3CDTF">2024-11-14T10:12:14Z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0E0DA5DDF9534FFB9B5C7254B93C9F88_11</vt:lpwstr>
  </property>
</Properties>
</file>