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41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2025年上下杭新春季主题演绎服务项目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演出方案整体策划是否完善（包含元旦、新春、元宵。传统文化主题演艺、民俗/国风/文化巡游及演出），是否结合“非遗”、“民俗”等主题，节目设置是否具有创意，方案最优者得25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演出节目数量及亮点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元旦、新春、元宵。传统文化主题演艺、民俗/国风/文化巡游及演出，提供满足节目数量要求的方案得10分。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元旦、新春、元宵。传统文化主题演艺、民俗/国风/文化巡游及演出，节目需符合专场主题且具有创意，专场节目需体现“非遗”“国风”等元素亮点，方案最优者得10分，以此类推，每降低一名减5分。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媒体宣传计划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是否提供较为完善的宣传推广计划，未提供者不得分，根据媒体宣传计划的合理性和影响力，方案最优者得20分，以此类推，每降低一名减5分。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人员配备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是否按照活动方案配备充足的现场执行人员、演艺人员等，提供人数及大致岗位分工且分工合理，方案最优得10分，以此类推，每降低一名减2分。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方案中报价最低者得满分，以此类推，每降低一名减5分。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响应服务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需以承诺函的形式承诺在服务期内，接采购人关于活动的相关通知，须在2小时内做出响应，并在24小时内完成服务。未提供承诺函此项不得分。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129AA"/>
    <w:rsid w:val="4C7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778</Words>
  <Characters>811</Characters>
  <Lines>0</Lines>
  <Paragraphs>0</Paragraphs>
  <TotalTime>1</TotalTime>
  <ScaleCrop>false</ScaleCrop>
  <LinksUpToDate>false</LinksUpToDate>
  <CharactersWithSpaces>811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2023-01-28T18:07:00Z</dcterms:created>
  <dc:creator>R</dc:creator>
  <cp:lastModifiedBy>喔喔</cp:lastModifiedBy>
  <dcterms:modified xsi:type="dcterms:W3CDTF">2024-12-24T00:59:56Z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6E265EC4AA2E47EABFCB2815C12A9684</vt:lpwstr>
  </property>
</Properties>
</file>