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E26D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附件一：</w:t>
      </w:r>
    </w:p>
    <w:tbl>
      <w:tblPr>
        <w:tblStyle w:val="5"/>
        <w:tblW w:w="100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40"/>
        <w:gridCol w:w="6770"/>
        <w:gridCol w:w="948"/>
      </w:tblGrid>
      <w:tr w14:paraId="6066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0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下杭路185号“上下杭非遗共享空间”项目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方案评分表</w:t>
            </w:r>
          </w:p>
        </w:tc>
      </w:tr>
      <w:tr w14:paraId="6CB1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F57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25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内容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评分项目明细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56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</w:tr>
      <w:tr w14:paraId="08EF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总体方案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6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“上下杭非遗演绎空间”运营规划方案是否符合非遗宣传特色，根据方案特色完整性，最优得20分，第二名得15分，第三名得10分，第四名得5分，第五名及以后不得分。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6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5E2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空间规划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2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方案中是否明确“上下杭非遗演绎空间”规划，品类最全方案得10分，第二名得7分，第三名得5分，第四名及以后得3分。无品类设计方案不得分。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EB6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4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F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运营能力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E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方案中是否包含运营人员配置，方案最优者得20分，第二名得15分，第三名得10分，第四名得5分，第五名及以后不得分。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62A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6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宣传方案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5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方案中是否有营销方案，方案是否充分结合非遗文化特点及非遗推广宣传的特性。方案最优者得10分，第二名得7分，第三名得5分，第四名及以后得3分。无宣传方案者不得分。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3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729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2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销售渠道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A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渠道设置是否完善，渠道数量最多方案得15分，第二名得10分，第三名得5分，第四名及以后不得分。无渠道方案者不得分。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2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8FE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1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分润比例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方案中明确我方分润比例，方案中是否明确我司合作分成比例不低于20%，分成比例最高者得15分，每降低一名减5分，以此类推。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6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56B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C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营收保底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D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方案中需明确营收保底费用，首年总营收约180万元，每月营收约15万元，第二年总营收约189万元，第三年总营收约198.45元。保底营收最高者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得10分，第二名得7分，第三名得5分，第四名得5分，第五名及以后不得分。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CA6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0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合计分数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1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B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 w14:paraId="3ACBB6F4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9846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1BC0"/>
    <w:rsid w:val="12777D16"/>
    <w:rsid w:val="16ED2318"/>
    <w:rsid w:val="196F5DB1"/>
    <w:rsid w:val="2238786B"/>
    <w:rsid w:val="41032CE1"/>
    <w:rsid w:val="4DA1635B"/>
    <w:rsid w:val="766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624</Characters>
  <Lines>0</Lines>
  <Paragraphs>38</Paragraphs>
  <TotalTime>0</TotalTime>
  <ScaleCrop>false</ScaleCrop>
  <LinksUpToDate>false</LinksUpToDate>
  <CharactersWithSpaces>624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2024-06-17T10:17:00Z</dcterms:created>
  <dc:creator>Administrator</dc:creator>
  <cp:lastModifiedBy>喔喔</cp:lastModifiedBy>
  <dcterms:modified xsi:type="dcterms:W3CDTF">2025-03-10T01:53:17Z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4D36CB2D6A4B4C8CB4144300B230CD7F_13</vt:lpwstr>
  </property>
  <property fmtid="{D5CDD505-2E9C-101B-9397-08002B2CF9AE}" pid="4" name="KSOTemplateDocerSaveRecord">
    <vt:lpwstr>eyJoZGlkIjoiMmRkYzNjNmVhZDdlYTY3YTg0ZTY2NGNiMjNjYjJmOTgiLCJ1c2VySWQiOiIxOTIzMjg0MzYifQ==</vt:lpwstr>
  </property>
</Properties>
</file>