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C97F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五大街区自助旅拍合作项目评分表</w:t>
      </w:r>
    </w:p>
    <w:tbl>
      <w:tblPr>
        <w:tblStyle w:val="2"/>
        <w:tblpPr w:leftFromText="180" w:rightFromText="180" w:vertAnchor="text" w:horzAnchor="margin" w:tblpXSpec="center" w:tblpY="40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themeColor="text1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 w14:paraId="524E4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E2C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1EB2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B4D7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19C47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 w14:paraId="41B6F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2D96A2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F6E251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60ECF0CA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方案中明确营收保底费用，要求第一年年营业额不低于144万元，第二年年营业额不低于158.4万元。保底营收最高者得25分，第二名得20分，第三名得15分，依次递减。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4583A74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5B291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46A769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202FEB9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3BFD427C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方案中明确我方分润比例，不低于年营业额的15%，我司分润比例最高者得25分，第二名得20分，第三名15分，依次递减；无分润比例者不得分。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8D0DC6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1DB8A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719A5C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DDAAE"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整体方案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3653B">
            <w:pPr>
              <w:widowControl/>
              <w:jc w:val="both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  <w:t>项目整体方案需包含产品功能、创新技术能力、定价策略、运营思路、营销推广策略、全流程服务保障等，可根据方案的完善程度在0-20区间内酌情打分。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34D11C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  <w:t>20</w:t>
            </w:r>
          </w:p>
        </w:tc>
      </w:tr>
      <w:tr w14:paraId="2546B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CC756A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2C730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产品功能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E3079">
            <w:pPr>
              <w:widowControl/>
              <w:jc w:val="both"/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①产品效果评分（满分4分）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产品呈现效果为全彩色得4分；产品呈现效果为非彩色得0分</w:t>
            </w:r>
          </w:p>
          <w:p w14:paraId="154B8F84">
            <w:pPr>
              <w:widowControl/>
              <w:jc w:val="both"/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产品更新能力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评分（满分4分）：产品场景模版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按季度定期更新得4分；更新周期超过1个季度但不超过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半年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得2分；更新周期超过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半年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或未更新得0分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；</w:t>
            </w:r>
          </w:p>
          <w:p w14:paraId="080268A0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③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智能化功能评分（满分7分）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：产品具备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导览图功能、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AIGC影像生成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、NFC等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智能化功能，每实现1项得2分，3项全具备额外加1分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310D1D5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</w:tr>
      <w:tr w14:paraId="7EFD5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8137A8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2CB83"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视觉设计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4A361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  <w:t>视觉设计方案需包含设备外观设计、产品模版设计等，设计方案是否与街区场景契合，可根据方案要求在0-10区间内酌情打分。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1416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0A21E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7B8919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EED3D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售后服务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FB489">
            <w:pPr>
              <w:widowControl/>
              <w:jc w:val="both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项目售后服务方案是否与本项目契合，可根据方案要求在0-5区间内酌情打分。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F45F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  <w:t>5</w:t>
            </w:r>
          </w:p>
        </w:tc>
      </w:tr>
      <w:tr w14:paraId="7FEA9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344" w:type="dxa"/>
            <w:gridSpan w:val="3"/>
            <w:tcBorders>
              <w:tl2br w:val="nil"/>
              <w:tr2bl w:val="nil"/>
            </w:tcBorders>
            <w:vAlign w:val="center"/>
          </w:tcPr>
          <w:p w14:paraId="6105062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253604C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386E6A86">
      <w:pPr>
        <w:jc w:val="both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2025-09-02T01:01:00Z</dcterms:created>
  <dc:creator>hp</dc:creator>
  <cp:lastModifiedBy> 糯米鲤鱼</cp:lastModifiedBy>
  <dcterms:modified xsi:type="dcterms:W3CDTF">2025-09-02T01:20:17Z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eyJoZGlkIjoiNTNkZGJhZTYwMTIxMDNiM2ZhNTAzMGIxYzA3MmM0MjAiLCJ1c2VySWQiOiI0MTI0Mzg5MDgifQ==</vt:lpwstr>
  </property>
  <property fmtid="{D5CDD505-2E9C-101B-9397-08002B2CF9AE}" pid="4" name="ICV">
    <vt:lpwstr>C75A1C3B990D4E388122D1DC0EA1709B_12</vt:lpwstr>
  </property>
</Properties>
</file>